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3864" w:val="clear"/>
            <w:tcMar>
              <w:top w:w="360.0" w:type="dxa"/>
              <w:left w:w="360.0" w:type="dxa"/>
              <w:bottom w:w="360.0" w:type="dxa"/>
              <w:right w:w="360.0" w:type="dxa"/>
            </w:tcMar>
          </w:tcPr>
          <w:p w:rsidR="00000000" w:rsidDel="00000000" w:rsidP="00000000" w:rsidRDefault="00000000" w:rsidRPr="00000000" w14:paraId="00000004">
            <w:pPr>
              <w:spacing w:after="80" w:before="120" w:lineRule="auto"/>
              <w:jc w:val="center"/>
              <w:rPr/>
            </w:pPr>
            <w:r w:rsidDel="00000000" w:rsidR="00000000" w:rsidRPr="00000000">
              <w:rPr>
                <w:rFonts w:ascii="Arial" w:cs="Arial" w:eastAsia="Arial" w:hAnsi="Arial"/>
                <w:b w:val="1"/>
                <w:bCs w:val="1"/>
                <w:color w:val="c9d6e3"/>
                <w:sz w:val="20"/>
                <w:szCs w:val="20"/>
                <w:rtl w:val="0"/>
              </w:rPr>
              <w:t xml:space="preserve">CASE STUDY REPORT</w:t>
            </w:r>
            <w:r w:rsidDel="00000000" w:rsidR="00000000" w:rsidRPr="00000000">
              <w:rPr>
                <w:rtl w:val="0"/>
              </w:rPr>
            </w:r>
          </w:p>
          <w:p w:rsidR="00000000" w:rsidDel="00000000" w:rsidP="00000000" w:rsidRDefault="00000000" w:rsidRPr="00000000" w14:paraId="00000005">
            <w:pPr>
              <w:spacing w:after="80" w:before="80" w:lineRule="auto"/>
              <w:jc w:val="center"/>
              <w:rPr/>
            </w:pPr>
            <w:r w:rsidDel="00000000" w:rsidR="00000000" w:rsidRPr="00000000">
              <w:rPr>
                <w:rFonts w:ascii="Arial" w:cs="Arial" w:eastAsia="Arial" w:hAnsi="Arial"/>
                <w:b w:val="1"/>
                <w:bCs w:val="1"/>
                <w:color w:val="ffffff"/>
                <w:sz w:val="36"/>
                <w:szCs w:val="36"/>
                <w:rtl w:val="0"/>
              </w:rPr>
              <w:t xml:space="preserve">Advantages of Using Artificial Intelligence</w:t>
            </w:r>
            <w:r w:rsidDel="00000000" w:rsidR="00000000" w:rsidRPr="00000000">
              <w:rPr>
                <w:rtl w:val="0"/>
              </w:rPr>
            </w:r>
          </w:p>
          <w:p w:rsidR="00000000" w:rsidDel="00000000" w:rsidP="00000000" w:rsidRDefault="00000000" w:rsidRPr="00000000" w14:paraId="00000006">
            <w:pPr>
              <w:spacing w:after="160" w:before="40" w:lineRule="auto"/>
              <w:jc w:val="center"/>
              <w:rPr/>
            </w:pPr>
            <w:r w:rsidDel="00000000" w:rsidR="00000000" w:rsidRPr="00000000">
              <w:rPr>
                <w:rFonts w:ascii="Arial" w:cs="Arial" w:eastAsia="Arial" w:hAnsi="Arial"/>
                <w:b w:val="1"/>
                <w:bCs w:val="1"/>
                <w:color w:val="7ec8e3"/>
                <w:sz w:val="36"/>
                <w:szCs w:val="36"/>
                <w:rtl w:val="0"/>
              </w:rPr>
              <w:t xml:space="preserve">in Government and the Public Sector</w:t>
            </w:r>
            <w:r w:rsidDel="00000000" w:rsidR="00000000" w:rsidRPr="00000000">
              <w:rPr>
                <w:rtl w:val="0"/>
              </w:rPr>
            </w:r>
          </w:p>
          <w:p w:rsidR="00000000" w:rsidDel="00000000" w:rsidP="00000000" w:rsidRDefault="00000000" w:rsidRPr="00000000" w14:paraId="00000007">
            <w:pPr>
              <w:pBdr>
                <w:top w:color="4a90d9" w:space="1" w:sz="4" w:val="single"/>
              </w:pBdr>
              <w:spacing w:after="80" w:before="160" w:lineRule="auto"/>
              <w:jc w:val="center"/>
              <w:rPr/>
            </w:pPr>
            <w:r w:rsidDel="00000000" w:rsidR="00000000" w:rsidRPr="00000000">
              <w:rPr>
                <w:rFonts w:ascii="Arial" w:cs="Arial" w:eastAsia="Arial" w:hAnsi="Arial"/>
                <w:i w:val="1"/>
                <w:iCs w:val="1"/>
                <w:color w:val="c9d6e3"/>
                <w:sz w:val="22"/>
                <w:szCs w:val="22"/>
                <w:rtl w:val="0"/>
              </w:rPr>
              <w:t xml:space="preserve">Focusing on the United States IRS Fraud Detection AI System</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a0b8cc" w:space="0" w:sz="4" w:val="single"/>
              <w:left w:color="a0b8cc" w:space="0" w:sz="4" w:val="single"/>
              <w:bottom w:color="a0b8cc" w:space="0" w:sz="4" w:val="single"/>
              <w:right w:color="a0b8cc" w:space="0" w:sz="4" w:val="single"/>
            </w:tcBorders>
            <w:shd w:fill="2e75b6" w:val="clear"/>
            <w:tcMar>
              <w:top w:w="80.0" w:type="dxa"/>
              <w:left w:w="160.0" w:type="dxa"/>
              <w:bottom w:w="80.0" w:type="dxa"/>
              <w:right w:w="16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ffffff"/>
                <w:sz w:val="21"/>
                <w:szCs w:val="21"/>
                <w:rtl w:val="0"/>
              </w:rPr>
              <w:t xml:space="preserve">Student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tcPr>
          <w:p w:rsidR="00000000" w:rsidDel="00000000" w:rsidP="00000000" w:rsidRDefault="00000000" w:rsidRPr="00000000" w14:paraId="0000000B">
            <w:pPr>
              <w:rPr/>
            </w:pPr>
            <w:r w:rsidDel="00000000" w:rsidR="00000000" w:rsidRPr="00000000">
              <w:rPr>
                <w:sz w:val="21"/>
                <w:szCs w:val="21"/>
                <w:rtl w:val="0"/>
              </w:rPr>
              <w:t xml:space="preserve">Yusuf Shahzad</w:t>
            </w:r>
            <w:r w:rsidDel="00000000" w:rsidR="00000000" w:rsidRPr="00000000">
              <w:rPr>
                <w:rtl w:val="0"/>
              </w:rPr>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160" w:before="360" w:lineRule="auto"/>
        <w:rPr/>
      </w:pPr>
      <w:r w:rsidDel="00000000" w:rsidR="00000000" w:rsidRPr="00000000">
        <w:rPr>
          <w:rFonts w:ascii="Arial" w:cs="Arial" w:eastAsia="Arial" w:hAnsi="Arial"/>
          <w:b w:val="1"/>
          <w:bCs w:val="1"/>
          <w:color w:val="1f3864"/>
          <w:sz w:val="32"/>
          <w:szCs w:val="32"/>
          <w:rtl w:val="0"/>
        </w:rPr>
        <w:t xml:space="preserve">1. Introduction</w:t>
      </w:r>
      <w:r w:rsidDel="00000000" w:rsidR="00000000" w:rsidRPr="00000000">
        <w:rPr>
          <w:rtl w:val="0"/>
        </w:rPr>
      </w:r>
    </w:p>
    <w:p w:rsidR="00000000" w:rsidDel="00000000" w:rsidP="00000000" w:rsidRDefault="00000000" w:rsidRPr="00000000" w14:paraId="00000011">
      <w:pPr>
        <w:pBdr>
          <w:bottom w:color="2e75b6" w:space="1" w:sz="8" w:val="single"/>
        </w:pBdr>
        <w:spacing w:after="120" w:before="120" w:lineRule="auto"/>
        <w:rPr/>
      </w:pPr>
      <w:r w:rsidDel="00000000" w:rsidR="00000000" w:rsidRPr="00000000">
        <w:rPr>
          <w:rtl w:val="0"/>
        </w:rPr>
      </w:r>
    </w:p>
    <w:p w:rsidR="00000000" w:rsidDel="00000000" w:rsidP="00000000" w:rsidRDefault="00000000" w:rsidRPr="00000000" w14:paraId="00000012">
      <w:pPr>
        <w:spacing w:after="80" w:before="80" w:line="360" w:lineRule="auto"/>
        <w:jc w:val="both"/>
        <w:rPr/>
      </w:pPr>
      <w:r w:rsidDel="00000000" w:rsidR="00000000" w:rsidRPr="00000000">
        <w:rPr>
          <w:rFonts w:ascii="Arial" w:cs="Arial" w:eastAsia="Arial" w:hAnsi="Arial"/>
          <w:b w:val="0"/>
          <w:bCs w:val="0"/>
          <w:i w:val="0"/>
          <w:iCs w:val="0"/>
          <w:color w:val="000000"/>
          <w:sz w:val="22"/>
          <w:szCs w:val="22"/>
          <w:rtl w:val="0"/>
        </w:rPr>
        <w:t xml:space="preserve">Artificial Intelligence (AI) is rapidly transforming how governments and public sector organizations deliver services, formulate policy, and protect citizens. From predictive policing to automated benefit disbursement, AI technologies are enabling administrations to process vast volumes of data with unprecedented speed and accuracy. As governments worldwide face mounting pressure to do more with less, AI offers a compelling solution to longstanding inefficiencies in public administration.</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80" w:before="80" w:line="360" w:lineRule="auto"/>
        <w:jc w:val="both"/>
        <w:rPr/>
      </w:pPr>
      <w:r w:rsidDel="00000000" w:rsidR="00000000" w:rsidRPr="00000000">
        <w:rPr>
          <w:rFonts w:ascii="Arial" w:cs="Arial" w:eastAsia="Arial" w:hAnsi="Arial"/>
          <w:b w:val="0"/>
          <w:bCs w:val="0"/>
          <w:i w:val="0"/>
          <w:iCs w:val="0"/>
          <w:color w:val="000000"/>
          <w:sz w:val="22"/>
          <w:szCs w:val="22"/>
          <w:rtl w:val="0"/>
        </w:rPr>
        <w:t xml:space="preserve">This report examines the real-world application of AI in government through a detailed case study of the United States Internal Revenue Service (IRS) AI-powered fraud detection system. The analysis explores the problem addressed, the AI techniques deployed, the outcomes achieved, and the limitations encountered. Building on these insights, the report then proposes an innovative AI application: an AI-driven predictive policy impact assessment platform for legislative bodies.</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80" w:before="80" w:line="360" w:lineRule="auto"/>
        <w:jc w:val="both"/>
        <w:rPr/>
      </w:pPr>
      <w:r w:rsidDel="00000000" w:rsidR="00000000" w:rsidRPr="00000000">
        <w:rPr>
          <w:rFonts w:ascii="Arial" w:cs="Arial" w:eastAsia="Arial" w:hAnsi="Arial"/>
          <w:b w:val="0"/>
          <w:bCs w:val="0"/>
          <w:i w:val="0"/>
          <w:iCs w:val="0"/>
          <w:color w:val="000000"/>
          <w:sz w:val="22"/>
          <w:szCs w:val="22"/>
          <w:rtl w:val="0"/>
        </w:rPr>
        <w:t xml:space="preserve">The integration of AI into governance is not merely a technological upgrade; it represents a fundamental shift in how public institutions operate, make decisions, and interact with citizens. Understanding both the potential and the pitfalls of such integration is essential for responsible and effective public sector innovation.</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160" w:before="360" w:lineRule="auto"/>
        <w:rPr/>
      </w:pPr>
      <w:r w:rsidDel="00000000" w:rsidR="00000000" w:rsidRPr="00000000">
        <w:rPr>
          <w:rFonts w:ascii="Arial" w:cs="Arial" w:eastAsia="Arial" w:hAnsi="Arial"/>
          <w:b w:val="1"/>
          <w:bCs w:val="1"/>
          <w:color w:val="1f3864"/>
          <w:sz w:val="32"/>
          <w:szCs w:val="32"/>
          <w:rtl w:val="0"/>
        </w:rPr>
        <w:t xml:space="preserve">2. Case Study Analysis</w:t>
      </w:r>
      <w:r w:rsidDel="00000000" w:rsidR="00000000" w:rsidRPr="00000000">
        <w:rPr>
          <w:rtl w:val="0"/>
        </w:rPr>
      </w:r>
    </w:p>
    <w:p w:rsidR="00000000" w:rsidDel="00000000" w:rsidP="00000000" w:rsidRDefault="00000000" w:rsidRPr="00000000" w14:paraId="00000019">
      <w:pPr>
        <w:pBdr>
          <w:bottom w:color="2e75b6" w:space="1" w:sz="8" w:val="single"/>
        </w:pBdr>
        <w:spacing w:after="120" w:before="120" w:lineRule="auto"/>
        <w:rPr/>
      </w:pPr>
      <w:r w:rsidDel="00000000" w:rsidR="00000000" w:rsidRPr="00000000">
        <w:rPr>
          <w:rtl w:val="0"/>
        </w:rPr>
      </w:r>
    </w:p>
    <w:p w:rsidR="00000000" w:rsidDel="00000000" w:rsidP="00000000" w:rsidRDefault="00000000" w:rsidRPr="00000000" w14:paraId="0000001A">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2.1 Overview: IRS AI-Powered Tax Fraud Detection</w:t>
      </w:r>
      <w:r w:rsidDel="00000000" w:rsidR="00000000" w:rsidRPr="00000000">
        <w:rPr>
          <w:rtl w:val="0"/>
        </w:rPr>
      </w:r>
    </w:p>
    <w:p w:rsidR="00000000" w:rsidDel="00000000" w:rsidP="00000000" w:rsidRDefault="00000000" w:rsidRPr="00000000" w14:paraId="0000001B">
      <w:pPr>
        <w:spacing w:after="80" w:before="80" w:line="360" w:lineRule="auto"/>
        <w:jc w:val="both"/>
        <w:rPr/>
      </w:pPr>
      <w:r w:rsidDel="00000000" w:rsidR="00000000" w:rsidRPr="00000000">
        <w:rPr>
          <w:rFonts w:ascii="Arial" w:cs="Arial" w:eastAsia="Arial" w:hAnsi="Arial"/>
          <w:b w:val="0"/>
          <w:bCs w:val="0"/>
          <w:i w:val="0"/>
          <w:iCs w:val="0"/>
          <w:color w:val="000000"/>
          <w:sz w:val="22"/>
          <w:szCs w:val="22"/>
          <w:rtl w:val="0"/>
        </w:rPr>
        <w:t xml:space="preserve">The Internal Revenue Service (IRS), the federal tax collection agency of the United States, manages over 150 million individual tax returns annually. The sheer scale of tax administration creates significant vulnerability to fraudulent filings, identity theft schemes, and sophisticated tax evasion. In response, the IRS deployed an advanced AI and machine learning system as part of its broader Return Review Program (RRP), replacing the older Discriminant Information Function (DIF) scoring model.</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80" w:before="200" w:lineRule="auto"/>
        <w:rPr/>
      </w:pPr>
      <w:r w:rsidDel="00000000" w:rsidR="00000000" w:rsidRPr="00000000">
        <w:rPr>
          <w:rFonts w:ascii="Arial" w:cs="Arial" w:eastAsia="Arial" w:hAnsi="Arial"/>
          <w:b w:val="1"/>
          <w:bCs w:val="1"/>
          <w:color w:val="1e7145"/>
          <w:sz w:val="22"/>
          <w:szCs w:val="22"/>
          <w:rtl w:val="0"/>
        </w:rPr>
        <w:t xml:space="preserve">2.1.1 Problem or Need Addressed</w:t>
      </w:r>
      <w:r w:rsidDel="00000000" w:rsidR="00000000" w:rsidRPr="00000000">
        <w:rPr>
          <w:rtl w:val="0"/>
        </w:rPr>
      </w:r>
    </w:p>
    <w:p w:rsidR="00000000" w:rsidDel="00000000" w:rsidP="00000000" w:rsidRDefault="00000000" w:rsidRPr="00000000" w14:paraId="0000001E">
      <w:pPr>
        <w:spacing w:after="80" w:before="80" w:line="360" w:lineRule="auto"/>
        <w:jc w:val="both"/>
        <w:rPr/>
      </w:pPr>
      <w:r w:rsidDel="00000000" w:rsidR="00000000" w:rsidRPr="00000000">
        <w:rPr>
          <w:rFonts w:ascii="Arial" w:cs="Arial" w:eastAsia="Arial" w:hAnsi="Arial"/>
          <w:b w:val="0"/>
          <w:bCs w:val="0"/>
          <w:i w:val="0"/>
          <w:iCs w:val="0"/>
          <w:color w:val="000000"/>
          <w:sz w:val="22"/>
          <w:szCs w:val="22"/>
          <w:rtl w:val="0"/>
        </w:rPr>
        <w:t xml:space="preserve">Prior to the AI implementation, the IRS faced several critical challenges in detecting and preventing tax fraud:</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120.0" w:type="dxa"/>
              <w:left w:w="180.0" w:type="dxa"/>
              <w:bottom w:w="120.0" w:type="dxa"/>
              <w:right w:w="18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ffffff"/>
                <w:sz w:val="24"/>
                <w:szCs w:val="24"/>
                <w:rtl w:val="0"/>
              </w:rPr>
              <w:t xml:space="preserve">Key Challenges Facing the IRS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d6e4f0" w:val="clear"/>
            <w:tcMar>
              <w:top w:w="80.0" w:type="dxa"/>
              <w:left w:w="200.0" w:type="dxa"/>
              <w:bottom w:w="80.0" w:type="dxa"/>
              <w:right w:w="180.0" w:type="dxa"/>
            </w:tcMar>
          </w:tcPr>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Tax fraud losses exceeding $5 billion annually from fraudulent refund claims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d6e4f0" w:val="clear"/>
            <w:tcMar>
              <w:top w:w="80.0" w:type="dxa"/>
              <w:left w:w="200.0" w:type="dxa"/>
              <w:bottom w:w="80.0" w:type="dxa"/>
              <w:right w:w="180.0" w:type="dxa"/>
            </w:tcMar>
          </w:tcPr>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Identity theft-based fraud: criminals filing returns using stolen Social Security Numbers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d6e4f0" w:val="clear"/>
            <w:tcMar>
              <w:top w:w="80.0" w:type="dxa"/>
              <w:left w:w="200.0" w:type="dxa"/>
              <w:bottom w:w="80.0" w:type="dxa"/>
              <w:right w:w="180.0" w:type="dxa"/>
            </w:tcMar>
          </w:tcPr>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Outdated rule-based detection systems generating high false-positive rates (flagging legitimate returns)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d6e4f0" w:val="clear"/>
            <w:tcMar>
              <w:top w:w="80.0" w:type="dxa"/>
              <w:left w:w="200.0" w:type="dxa"/>
              <w:bottom w:w="80.0" w:type="dxa"/>
              <w:right w:w="180.0" w:type="dxa"/>
            </w:tcMar>
          </w:tcPr>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Manual review backlogs causing significant delays in legitimate refund processing</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d6e4f0" w:val="clear"/>
            <w:tcMar>
              <w:top w:w="80.0" w:type="dxa"/>
              <w:left w:w="200.0" w:type="dxa"/>
              <w:bottom w:w="80.0" w:type="dxa"/>
              <w:right w:w="180.0" w:type="dxa"/>
            </w:tcMar>
          </w:tcPr>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Increasingly sophisticated fraud schemes that evolved faster than rule updates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d6e4f0" w:val="clear"/>
            <w:tcMar>
              <w:top w:w="80.0" w:type="dxa"/>
              <w:left w:w="200.0" w:type="dxa"/>
              <w:bottom w:w="80.0" w:type="dxa"/>
              <w:right w:w="180.0" w:type="dxa"/>
            </w:tcMar>
          </w:tcPr>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Limited ability to detect coordinated fraud networks filing large volumes of fraudulent returns</w:t>
            </w:r>
            <w:r w:rsidDel="00000000" w:rsidR="00000000" w:rsidRPr="00000000">
              <w:rPr>
                <w:rtl w:val="0"/>
              </w:rPr>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80" w:before="80" w:line="360" w:lineRule="auto"/>
        <w:jc w:val="both"/>
        <w:rPr/>
      </w:pPr>
      <w:r w:rsidDel="00000000" w:rsidR="00000000" w:rsidRPr="00000000">
        <w:rPr>
          <w:rFonts w:ascii="Arial" w:cs="Arial" w:eastAsia="Arial" w:hAnsi="Arial"/>
          <w:b w:val="0"/>
          <w:bCs w:val="0"/>
          <w:i w:val="0"/>
          <w:iCs w:val="0"/>
          <w:color w:val="000000"/>
          <w:sz w:val="22"/>
          <w:szCs w:val="22"/>
          <w:rtl w:val="0"/>
        </w:rPr>
        <w:t xml:space="preserve">These challenges demanded a more adaptive, data-driven approach. The traditional DIF model assigned a score to each return based on statistical norms but could not adapt to evolving fraud patterns or identify complex, multi-return fraud networks.</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80" w:before="200" w:lineRule="auto"/>
        <w:rPr/>
      </w:pPr>
      <w:r w:rsidDel="00000000" w:rsidR="00000000" w:rsidRPr="00000000">
        <w:rPr>
          <w:rFonts w:ascii="Arial" w:cs="Arial" w:eastAsia="Arial" w:hAnsi="Arial"/>
          <w:b w:val="1"/>
          <w:bCs w:val="1"/>
          <w:color w:val="1e7145"/>
          <w:sz w:val="22"/>
          <w:szCs w:val="22"/>
          <w:rtl w:val="0"/>
        </w:rPr>
        <w:t xml:space="preserve">2.1.2 AI Tools and Techniques Implemented</w:t>
      </w:r>
      <w:r w:rsidDel="00000000" w:rsidR="00000000" w:rsidRPr="00000000">
        <w:rPr>
          <w:rtl w:val="0"/>
        </w:rPr>
      </w:r>
    </w:p>
    <w:p w:rsidR="00000000" w:rsidDel="00000000" w:rsidP="00000000" w:rsidRDefault="00000000" w:rsidRPr="00000000" w14:paraId="0000002B">
      <w:pPr>
        <w:spacing w:after="80" w:before="80" w:line="360" w:lineRule="auto"/>
        <w:jc w:val="both"/>
        <w:rPr/>
      </w:pPr>
      <w:r w:rsidDel="00000000" w:rsidR="00000000" w:rsidRPr="00000000">
        <w:rPr>
          <w:rFonts w:ascii="Arial" w:cs="Arial" w:eastAsia="Arial" w:hAnsi="Arial"/>
          <w:b w:val="0"/>
          <w:bCs w:val="0"/>
          <w:i w:val="0"/>
          <w:iCs w:val="0"/>
          <w:color w:val="000000"/>
          <w:sz w:val="22"/>
          <w:szCs w:val="22"/>
          <w:rtl w:val="0"/>
        </w:rPr>
        <w:t xml:space="preserve">The IRS Return Review Program leveraged a suite of advanced AI and data analytics technologies:</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ffffff"/>
                <w:sz w:val="20"/>
                <w:szCs w:val="20"/>
                <w:rtl w:val="0"/>
              </w:rPr>
              <w:t xml:space="preserve">AI Technique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ffffff"/>
                <w:sz w:val="20"/>
                <w:szCs w:val="20"/>
                <w:rtl w:val="0"/>
              </w:rPr>
              <w:t xml:space="preserve">Application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ffffff"/>
                <w:sz w:val="20"/>
                <w:szCs w:val="20"/>
                <w:rtl w:val="0"/>
              </w:rPr>
              <w:t xml:space="preserve">Data Source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ffffff"/>
                <w:sz w:val="20"/>
                <w:szCs w:val="20"/>
                <w:rtl w:val="0"/>
              </w:rPr>
              <w:t xml:space="preserve">Function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Machine Learning (ML)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Anomaly detection in returns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Historical tax filings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Identifies statistical outliers indicating fraud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Graph Analytics / Network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Fraud ring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Cross-return taxpayer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Maps relationships between filers, preparers, accounts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Natural Language Processing (NLP)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Document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Supporting tax 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Validates consistency of submitted documents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Predictive Modelling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Risk scoring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Multi-year IRS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Assigns fraud probability score to each return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Robotic Process Automation (RPA)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Workflow automation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IRS internal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Automates routine case routing and data entry</w:t>
            </w: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80" w:before="80" w:line="360" w:lineRule="auto"/>
        <w:jc w:val="both"/>
        <w:rPr/>
      </w:pPr>
      <w:r w:rsidDel="00000000" w:rsidR="00000000" w:rsidRPr="00000000">
        <w:rPr>
          <w:rFonts w:ascii="Arial" w:cs="Arial" w:eastAsia="Arial" w:hAnsi="Arial"/>
          <w:b w:val="0"/>
          <w:bCs w:val="0"/>
          <w:i w:val="0"/>
          <w:iCs w:val="0"/>
          <w:color w:val="000000"/>
          <w:sz w:val="22"/>
          <w:szCs w:val="22"/>
          <w:rtl w:val="0"/>
        </w:rPr>
        <w:t xml:space="preserve">The system continuously learns from new fraud cases confirmed by human auditors, creating a feedback loop that improves detection accuracy over time. Critically, the AI does not make final determinations independently; human agents review flagged returns, maintaining accountability.</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80" w:before="200" w:lineRule="auto"/>
        <w:rPr/>
      </w:pPr>
      <w:r w:rsidDel="00000000" w:rsidR="00000000" w:rsidRPr="00000000">
        <w:rPr>
          <w:rFonts w:ascii="Arial" w:cs="Arial" w:eastAsia="Arial" w:hAnsi="Arial"/>
          <w:b w:val="1"/>
          <w:bCs w:val="1"/>
          <w:color w:val="1e7145"/>
          <w:sz w:val="22"/>
          <w:szCs w:val="22"/>
          <w:rtl w:val="0"/>
        </w:rPr>
        <w:t xml:space="preserve">2.1.3 Outcomes and Benefits Achieved</w:t>
      </w:r>
      <w:r w:rsidDel="00000000" w:rsidR="00000000" w:rsidRPr="00000000">
        <w:rPr>
          <w:rtl w:val="0"/>
        </w:rPr>
      </w:r>
    </w:p>
    <w:p w:rsidR="00000000" w:rsidDel="00000000" w:rsidP="00000000" w:rsidRDefault="00000000" w:rsidRPr="00000000" w14:paraId="00000049">
      <w:pPr>
        <w:spacing w:after="80" w:before="80" w:line="360" w:lineRule="auto"/>
        <w:jc w:val="both"/>
        <w:rPr/>
      </w:pPr>
      <w:r w:rsidDel="00000000" w:rsidR="00000000" w:rsidRPr="00000000">
        <w:rPr>
          <w:rFonts w:ascii="Arial" w:cs="Arial" w:eastAsia="Arial" w:hAnsi="Arial"/>
          <w:b w:val="0"/>
          <w:bCs w:val="0"/>
          <w:i w:val="0"/>
          <w:iCs w:val="0"/>
          <w:color w:val="000000"/>
          <w:sz w:val="22"/>
          <w:szCs w:val="22"/>
          <w:rtl w:val="0"/>
        </w:rPr>
        <w:t xml:space="preserve">The deployment of AI fraud detection at the IRS has yielded measurable, significant results across multiple dimensions:</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120.0" w:type="dxa"/>
              <w:left w:w="180.0" w:type="dxa"/>
              <w:bottom w:w="120.0" w:type="dxa"/>
              <w:right w:w="18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ffffff"/>
                <w:sz w:val="23"/>
                <w:szCs w:val="23"/>
                <w:rtl w:val="0"/>
              </w:rPr>
              <w:t xml:space="preserve">Performance Metric</w:t>
            </w:r>
            <w:r w:rsidDel="00000000" w:rsidR="00000000" w:rsidRPr="00000000">
              <w:rPr>
                <w:rtl w:val="0"/>
              </w:rPr>
            </w:r>
          </w:p>
        </w:tc>
        <w:tc>
          <w:tcPr>
            <w:tcBorders>
              <w:top w:color="1e7145" w:space="0" w:sz="4" w:val="single"/>
              <w:left w:color="1e7145" w:space="0" w:sz="4" w:val="single"/>
              <w:bottom w:color="1e7145" w:space="0" w:sz="4" w:val="single"/>
              <w:right w:color="1e7145" w:space="0" w:sz="4" w:val="single"/>
            </w:tcBorders>
            <w:shd w:fill="1e7145" w:val="clear"/>
            <w:tcMar>
              <w:top w:w="120.0" w:type="dxa"/>
              <w:left w:w="180.0" w:type="dxa"/>
              <w:bottom w:w="120.0" w:type="dxa"/>
              <w:right w:w="18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ffffff"/>
                <w:sz w:val="23"/>
                <w:szCs w:val="23"/>
                <w:rtl w:val="0"/>
              </w:rPr>
              <w:t xml:space="preserve">Outcome / Result</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d6e4f0" w:val="clear"/>
            <w:tcMar>
              <w:top w:w="80.0" w:type="dxa"/>
              <w:left w:w="160.0" w:type="dxa"/>
              <w:bottom w:w="80.0" w:type="dxa"/>
              <w:right w:w="160.0" w:type="dxa"/>
            </w:tcMar>
          </w:tcPr>
          <w:p w:rsidR="00000000" w:rsidDel="00000000" w:rsidP="00000000" w:rsidRDefault="00000000" w:rsidRPr="00000000" w14:paraId="0000004D">
            <w:pPr>
              <w:rPr/>
            </w:pPr>
            <w:r w:rsidDel="00000000" w:rsidR="00000000" w:rsidRPr="00000000">
              <w:rPr>
                <w:rFonts w:ascii="Arial" w:cs="Arial" w:eastAsia="Arial" w:hAnsi="Arial"/>
                <w:sz w:val="21"/>
                <w:szCs w:val="21"/>
                <w:rtl w:val="0"/>
              </w:rPr>
              <w:t xml:space="preserve">Fraudulent returns detected</w:t>
            </w:r>
            <w:r w:rsidDel="00000000" w:rsidR="00000000" w:rsidRPr="00000000">
              <w:rPr>
                <w:rtl w:val="0"/>
              </w:rPr>
            </w:r>
          </w:p>
        </w:tc>
        <w:tc>
          <w:tcPr>
            <w:tcBorders>
              <w:top w:color="8fc9a0" w:space="0" w:sz="4" w:val="single"/>
              <w:left w:color="8fc9a0" w:space="0" w:sz="4" w:val="single"/>
              <w:bottom w:color="8fc9a0" w:space="0" w:sz="4" w:val="single"/>
              <w:right w:color="8fc9a0" w:space="0" w:sz="4" w:val="single"/>
            </w:tcBorders>
            <w:shd w:fill="e2efda" w:val="clear"/>
            <w:tcMar>
              <w:top w:w="80.0" w:type="dxa"/>
              <w:left w:w="160.0" w:type="dxa"/>
              <w:bottom w:w="80.0" w:type="dxa"/>
              <w:right w:w="160.0" w:type="dxa"/>
            </w:tcMar>
          </w:tcPr>
          <w:p w:rsidR="00000000" w:rsidDel="00000000" w:rsidP="00000000" w:rsidRDefault="00000000" w:rsidRPr="00000000" w14:paraId="0000004E">
            <w:pPr>
              <w:rPr/>
            </w:pPr>
            <w:r w:rsidDel="00000000" w:rsidR="00000000" w:rsidRPr="00000000">
              <w:rPr>
                <w:rFonts w:ascii="Arial" w:cs="Arial" w:eastAsia="Arial" w:hAnsi="Arial"/>
                <w:sz w:val="21"/>
                <w:szCs w:val="21"/>
                <w:rtl w:val="0"/>
              </w:rPr>
              <w:t xml:space="preserve">Over $10 billion in fraudulent refunds prevented since deployment</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d6e4f0" w:val="clear"/>
            <w:tcMar>
              <w:top w:w="80.0" w:type="dxa"/>
              <w:left w:w="160.0" w:type="dxa"/>
              <w:bottom w:w="80.0" w:type="dxa"/>
              <w:right w:w="160.0" w:type="dxa"/>
            </w:tcMar>
          </w:tcPr>
          <w:p w:rsidR="00000000" w:rsidDel="00000000" w:rsidP="00000000" w:rsidRDefault="00000000" w:rsidRPr="00000000" w14:paraId="0000004F">
            <w:pPr>
              <w:rPr/>
            </w:pPr>
            <w:r w:rsidDel="00000000" w:rsidR="00000000" w:rsidRPr="00000000">
              <w:rPr>
                <w:rFonts w:ascii="Arial" w:cs="Arial" w:eastAsia="Arial" w:hAnsi="Arial"/>
                <w:sz w:val="21"/>
                <w:szCs w:val="21"/>
                <w:rtl w:val="0"/>
              </w:rPr>
              <w:t xml:space="preserve">Detection accuracy</w:t>
            </w:r>
            <w:r w:rsidDel="00000000" w:rsidR="00000000" w:rsidRPr="00000000">
              <w:rPr>
                <w:rtl w:val="0"/>
              </w:rPr>
            </w:r>
          </w:p>
        </w:tc>
        <w:tc>
          <w:tcPr>
            <w:tcBorders>
              <w:top w:color="8fc9a0" w:space="0" w:sz="4" w:val="single"/>
              <w:left w:color="8fc9a0" w:space="0" w:sz="4" w:val="single"/>
              <w:bottom w:color="8fc9a0" w:space="0" w:sz="4" w:val="single"/>
              <w:right w:color="8fc9a0" w:space="0" w:sz="4" w:val="single"/>
            </w:tcBorders>
            <w:shd w:fill="e2efda" w:val="clear"/>
            <w:tcMar>
              <w:top w:w="80.0" w:type="dxa"/>
              <w:left w:w="160.0" w:type="dxa"/>
              <w:bottom w:w="80.0" w:type="dxa"/>
              <w:right w:w="160.0" w:type="dxa"/>
            </w:tcMar>
          </w:tcPr>
          <w:p w:rsidR="00000000" w:rsidDel="00000000" w:rsidP="00000000" w:rsidRDefault="00000000" w:rsidRPr="00000000" w14:paraId="00000050">
            <w:pPr>
              <w:rPr/>
            </w:pPr>
            <w:r w:rsidDel="00000000" w:rsidR="00000000" w:rsidRPr="00000000">
              <w:rPr>
                <w:rFonts w:ascii="Arial" w:cs="Arial" w:eastAsia="Arial" w:hAnsi="Arial"/>
                <w:sz w:val="21"/>
                <w:szCs w:val="21"/>
                <w:rtl w:val="0"/>
              </w:rPr>
              <w:t xml:space="preserve">Significant reduction in false-positive rates vs. legacy DIF system</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d6e4f0" w:val="clear"/>
            <w:tcMar>
              <w:top w:w="80.0" w:type="dxa"/>
              <w:left w:w="160.0" w:type="dxa"/>
              <w:bottom w:w="80.0" w:type="dxa"/>
              <w:right w:w="160.0" w:type="dxa"/>
            </w:tcMar>
          </w:tcPr>
          <w:p w:rsidR="00000000" w:rsidDel="00000000" w:rsidP="00000000" w:rsidRDefault="00000000" w:rsidRPr="00000000" w14:paraId="00000051">
            <w:pPr>
              <w:rPr/>
            </w:pPr>
            <w:r w:rsidDel="00000000" w:rsidR="00000000" w:rsidRPr="00000000">
              <w:rPr>
                <w:rFonts w:ascii="Arial" w:cs="Arial" w:eastAsia="Arial" w:hAnsi="Arial"/>
                <w:sz w:val="21"/>
                <w:szCs w:val="21"/>
                <w:rtl w:val="0"/>
              </w:rPr>
              <w:t xml:space="preserve">Processing efficiency</w:t>
            </w:r>
            <w:r w:rsidDel="00000000" w:rsidR="00000000" w:rsidRPr="00000000">
              <w:rPr>
                <w:rtl w:val="0"/>
              </w:rPr>
            </w:r>
          </w:p>
        </w:tc>
        <w:tc>
          <w:tcPr>
            <w:tcBorders>
              <w:top w:color="8fc9a0" w:space="0" w:sz="4" w:val="single"/>
              <w:left w:color="8fc9a0" w:space="0" w:sz="4" w:val="single"/>
              <w:bottom w:color="8fc9a0" w:space="0" w:sz="4" w:val="single"/>
              <w:right w:color="8fc9a0" w:space="0" w:sz="4" w:val="single"/>
            </w:tcBorders>
            <w:shd w:fill="e2efda" w:val="clear"/>
            <w:tcMar>
              <w:top w:w="80.0" w:type="dxa"/>
              <w:left w:w="160.0" w:type="dxa"/>
              <w:bottom w:w="80.0" w:type="dxa"/>
              <w:right w:w="160.0" w:type="dxa"/>
            </w:tcMar>
          </w:tcPr>
          <w:p w:rsidR="00000000" w:rsidDel="00000000" w:rsidP="00000000" w:rsidRDefault="00000000" w:rsidRPr="00000000" w14:paraId="00000052">
            <w:pPr>
              <w:rPr/>
            </w:pPr>
            <w:r w:rsidDel="00000000" w:rsidR="00000000" w:rsidRPr="00000000">
              <w:rPr>
                <w:rFonts w:ascii="Arial" w:cs="Arial" w:eastAsia="Arial" w:hAnsi="Arial"/>
                <w:sz w:val="21"/>
                <w:szCs w:val="21"/>
                <w:rtl w:val="0"/>
              </w:rPr>
              <w:t xml:space="preserve">Faster screening of 150M+ returns during peak tax season</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d6e4f0" w:val="clear"/>
            <w:tcMar>
              <w:top w:w="80.0" w:type="dxa"/>
              <w:left w:w="160.0" w:type="dxa"/>
              <w:bottom w:w="80.0" w:type="dxa"/>
              <w:right w:w="160.0" w:type="dxa"/>
            </w:tcMar>
          </w:tcPr>
          <w:p w:rsidR="00000000" w:rsidDel="00000000" w:rsidP="00000000" w:rsidRDefault="00000000" w:rsidRPr="00000000" w14:paraId="00000053">
            <w:pPr>
              <w:rPr/>
            </w:pPr>
            <w:r w:rsidDel="00000000" w:rsidR="00000000" w:rsidRPr="00000000">
              <w:rPr>
                <w:rFonts w:ascii="Arial" w:cs="Arial" w:eastAsia="Arial" w:hAnsi="Arial"/>
                <w:sz w:val="21"/>
                <w:szCs w:val="21"/>
                <w:rtl w:val="0"/>
              </w:rPr>
              <w:t xml:space="preserve">Fraud ring identification</w:t>
            </w:r>
            <w:r w:rsidDel="00000000" w:rsidR="00000000" w:rsidRPr="00000000">
              <w:rPr>
                <w:rtl w:val="0"/>
              </w:rPr>
            </w:r>
          </w:p>
        </w:tc>
        <w:tc>
          <w:tcPr>
            <w:tcBorders>
              <w:top w:color="8fc9a0" w:space="0" w:sz="4" w:val="single"/>
              <w:left w:color="8fc9a0" w:space="0" w:sz="4" w:val="single"/>
              <w:bottom w:color="8fc9a0" w:space="0" w:sz="4" w:val="single"/>
              <w:right w:color="8fc9a0" w:space="0" w:sz="4" w:val="single"/>
            </w:tcBorders>
            <w:shd w:fill="e2efda" w:val="clear"/>
            <w:tcMar>
              <w:top w:w="80.0" w:type="dxa"/>
              <w:left w:w="160.0" w:type="dxa"/>
              <w:bottom w:w="80.0" w:type="dxa"/>
              <w:right w:w="160.0" w:type="dxa"/>
            </w:tcMar>
          </w:tcPr>
          <w:p w:rsidR="00000000" w:rsidDel="00000000" w:rsidP="00000000" w:rsidRDefault="00000000" w:rsidRPr="00000000" w14:paraId="00000054">
            <w:pPr>
              <w:rPr/>
            </w:pPr>
            <w:r w:rsidDel="00000000" w:rsidR="00000000" w:rsidRPr="00000000">
              <w:rPr>
                <w:rFonts w:ascii="Arial" w:cs="Arial" w:eastAsia="Arial" w:hAnsi="Arial"/>
                <w:sz w:val="21"/>
                <w:szCs w:val="21"/>
                <w:rtl w:val="0"/>
              </w:rPr>
              <w:t xml:space="preserve">Detection of coordinated fraud networks previously invisible to rule-based systems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d6e4f0" w:val="clear"/>
            <w:tcMar>
              <w:top w:w="80.0" w:type="dxa"/>
              <w:left w:w="160.0" w:type="dxa"/>
              <w:bottom w:w="80.0" w:type="dxa"/>
              <w:right w:w="160.0" w:type="dxa"/>
            </w:tcMar>
          </w:tcPr>
          <w:p w:rsidR="00000000" w:rsidDel="00000000" w:rsidP="00000000" w:rsidRDefault="00000000" w:rsidRPr="00000000" w14:paraId="00000055">
            <w:pPr>
              <w:rPr/>
            </w:pPr>
            <w:r w:rsidDel="00000000" w:rsidR="00000000" w:rsidRPr="00000000">
              <w:rPr>
                <w:rFonts w:ascii="Arial" w:cs="Arial" w:eastAsia="Arial" w:hAnsi="Arial"/>
                <w:sz w:val="21"/>
                <w:szCs w:val="21"/>
                <w:rtl w:val="0"/>
              </w:rPr>
              <w:t xml:space="preserve">Staff productivity</w:t>
            </w:r>
            <w:r w:rsidDel="00000000" w:rsidR="00000000" w:rsidRPr="00000000">
              <w:rPr>
                <w:rtl w:val="0"/>
              </w:rPr>
            </w:r>
          </w:p>
        </w:tc>
        <w:tc>
          <w:tcPr>
            <w:tcBorders>
              <w:top w:color="8fc9a0" w:space="0" w:sz="4" w:val="single"/>
              <w:left w:color="8fc9a0" w:space="0" w:sz="4" w:val="single"/>
              <w:bottom w:color="8fc9a0" w:space="0" w:sz="4" w:val="single"/>
              <w:right w:color="8fc9a0" w:space="0" w:sz="4" w:val="single"/>
            </w:tcBorders>
            <w:shd w:fill="e2efda" w:val="clear"/>
            <w:tcMar>
              <w:top w:w="80.0" w:type="dxa"/>
              <w:left w:w="160.0" w:type="dxa"/>
              <w:bottom w:w="80.0" w:type="dxa"/>
              <w:right w:w="160.0" w:type="dxa"/>
            </w:tcMar>
          </w:tcPr>
          <w:p w:rsidR="00000000" w:rsidDel="00000000" w:rsidP="00000000" w:rsidRDefault="00000000" w:rsidRPr="00000000" w14:paraId="00000056">
            <w:pPr>
              <w:rPr/>
            </w:pPr>
            <w:r w:rsidDel="00000000" w:rsidR="00000000" w:rsidRPr="00000000">
              <w:rPr>
                <w:rFonts w:ascii="Arial" w:cs="Arial" w:eastAsia="Arial" w:hAnsi="Arial"/>
                <w:sz w:val="21"/>
                <w:szCs w:val="21"/>
                <w:rtl w:val="0"/>
              </w:rPr>
              <w:t xml:space="preserve">Auditors redirected from routine screening to complex, high-value cases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d6e4f0" w:val="clear"/>
            <w:tcMar>
              <w:top w:w="80.0" w:type="dxa"/>
              <w:left w:w="160.0" w:type="dxa"/>
              <w:bottom w:w="80.0" w:type="dxa"/>
              <w:right w:w="160.0" w:type="dxa"/>
            </w:tcMar>
          </w:tcPr>
          <w:p w:rsidR="00000000" w:rsidDel="00000000" w:rsidP="00000000" w:rsidRDefault="00000000" w:rsidRPr="00000000" w14:paraId="00000057">
            <w:pPr>
              <w:rPr/>
            </w:pPr>
            <w:r w:rsidDel="00000000" w:rsidR="00000000" w:rsidRPr="00000000">
              <w:rPr>
                <w:rFonts w:ascii="Arial" w:cs="Arial" w:eastAsia="Arial" w:hAnsi="Arial"/>
                <w:sz w:val="21"/>
                <w:szCs w:val="21"/>
                <w:rtl w:val="0"/>
              </w:rPr>
              <w:t xml:space="preserve">Adaptability</w:t>
            </w:r>
            <w:r w:rsidDel="00000000" w:rsidR="00000000" w:rsidRPr="00000000">
              <w:rPr>
                <w:rtl w:val="0"/>
              </w:rPr>
            </w:r>
          </w:p>
        </w:tc>
        <w:tc>
          <w:tcPr>
            <w:tcBorders>
              <w:top w:color="8fc9a0" w:space="0" w:sz="4" w:val="single"/>
              <w:left w:color="8fc9a0" w:space="0" w:sz="4" w:val="single"/>
              <w:bottom w:color="8fc9a0" w:space="0" w:sz="4" w:val="single"/>
              <w:right w:color="8fc9a0" w:space="0" w:sz="4" w:val="single"/>
            </w:tcBorders>
            <w:shd w:fill="e2efda" w:val="clear"/>
            <w:tcMar>
              <w:top w:w="80.0" w:type="dxa"/>
              <w:left w:w="160.0" w:type="dxa"/>
              <w:bottom w:w="80.0" w:type="dxa"/>
              <w:right w:w="160.0" w:type="dxa"/>
            </w:tcMar>
          </w:tcPr>
          <w:p w:rsidR="00000000" w:rsidDel="00000000" w:rsidP="00000000" w:rsidRDefault="00000000" w:rsidRPr="00000000" w14:paraId="00000058">
            <w:pPr>
              <w:rPr/>
            </w:pPr>
            <w:r w:rsidDel="00000000" w:rsidR="00000000" w:rsidRPr="00000000">
              <w:rPr>
                <w:rFonts w:ascii="Arial" w:cs="Arial" w:eastAsia="Arial" w:hAnsi="Arial"/>
                <w:sz w:val="21"/>
                <w:szCs w:val="21"/>
                <w:rtl w:val="0"/>
              </w:rPr>
              <w:t xml:space="preserve">System updates faster than annual rule revisions of legacy model</w:t>
            </w:r>
            <w:r w:rsidDel="00000000" w:rsidR="00000000" w:rsidRPr="00000000">
              <w:rPr>
                <w:rtl w:val="0"/>
              </w:rPr>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80" w:before="80" w:line="360" w:lineRule="auto"/>
        <w:jc w:val="both"/>
        <w:rPr/>
      </w:pPr>
      <w:r w:rsidDel="00000000" w:rsidR="00000000" w:rsidRPr="00000000">
        <w:rPr>
          <w:rFonts w:ascii="Arial" w:cs="Arial" w:eastAsia="Arial" w:hAnsi="Arial"/>
          <w:b w:val="0"/>
          <w:bCs w:val="0"/>
          <w:i w:val="0"/>
          <w:iCs w:val="0"/>
          <w:color w:val="000000"/>
          <w:sz w:val="22"/>
          <w:szCs w:val="22"/>
          <w:rtl w:val="0"/>
        </w:rPr>
        <w:t xml:space="preserve">Beyond financial metrics, the AI system has improved taxpayer experience. Legitimate returns are processed more quickly as the system more accurately identifies fraudulent ones, reducing the collateral disruption caused by false positives. The IRS has also been able to reallocate skilled human investigators toward complex evasion schemes, improving overall audit quality.</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80" w:before="200" w:lineRule="auto"/>
        <w:rPr/>
      </w:pPr>
      <w:r w:rsidDel="00000000" w:rsidR="00000000" w:rsidRPr="00000000">
        <w:rPr>
          <w:rFonts w:ascii="Arial" w:cs="Arial" w:eastAsia="Arial" w:hAnsi="Arial"/>
          <w:b w:val="1"/>
          <w:bCs w:val="1"/>
          <w:color w:val="1e7145"/>
          <w:sz w:val="22"/>
          <w:szCs w:val="22"/>
          <w:rtl w:val="0"/>
        </w:rPr>
        <w:t xml:space="preserve">2.1.4 Challenges and Limitations</w:t>
      </w:r>
      <w:r w:rsidDel="00000000" w:rsidR="00000000" w:rsidRPr="00000000">
        <w:rPr>
          <w:rtl w:val="0"/>
        </w:rPr>
      </w:r>
    </w:p>
    <w:p w:rsidR="00000000" w:rsidDel="00000000" w:rsidP="00000000" w:rsidRDefault="00000000" w:rsidRPr="00000000" w14:paraId="0000005D">
      <w:pPr>
        <w:spacing w:after="80" w:before="80" w:line="360" w:lineRule="auto"/>
        <w:jc w:val="both"/>
        <w:rPr/>
      </w:pPr>
      <w:r w:rsidDel="00000000" w:rsidR="00000000" w:rsidRPr="00000000">
        <w:rPr>
          <w:rFonts w:ascii="Arial" w:cs="Arial" w:eastAsia="Arial" w:hAnsi="Arial"/>
          <w:b w:val="0"/>
          <w:bCs w:val="0"/>
          <w:i w:val="0"/>
          <w:iCs w:val="0"/>
          <w:color w:val="000000"/>
          <w:sz w:val="22"/>
          <w:szCs w:val="22"/>
          <w:rtl w:val="0"/>
        </w:rPr>
        <w:t xml:space="preserve">Despite its successes, the IRS AI fraud detection system has encountered several important challenges:</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120.0" w:type="dxa"/>
              <w:left w:w="180.0" w:type="dxa"/>
              <w:bottom w:w="120.0" w:type="dxa"/>
              <w:right w:w="18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ffffff"/>
                <w:sz w:val="24"/>
                <w:szCs w:val="24"/>
                <w:rtl w:val="0"/>
              </w:rPr>
              <w:t xml:space="preserve">Key Challenges and Limitations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2cc" w:val="clear"/>
            <w:tcMar>
              <w:top w:w="80.0" w:type="dxa"/>
              <w:left w:w="200.0" w:type="dxa"/>
              <w:bottom w:w="80.0" w:type="dxa"/>
              <w:right w:w="180.0" w:type="dxa"/>
            </w:tcMar>
          </w:tcPr>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Algorithmic Bias: Risk that the model may disproportionately flag certain demographic groups if training data reflects historical enforcement disparities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2cc" w:val="clear"/>
            <w:tcMar>
              <w:top w:w="80.0" w:type="dxa"/>
              <w:left w:w="200.0" w:type="dxa"/>
              <w:bottom w:w="80.0" w:type="dxa"/>
              <w:right w:w="180.0" w:type="dxa"/>
            </w:tcMar>
          </w:tcPr>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Transparency and Explainability: Complex ML models are difficult to explain to taxpayers or courts when fraud determinations are challenged</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2cc" w:val="clear"/>
            <w:tcMar>
              <w:top w:w="80.0" w:type="dxa"/>
              <w:left w:w="200.0" w:type="dxa"/>
              <w:bottom w:w="80.0" w:type="dxa"/>
              <w:right w:w="180.0" w:type="dxa"/>
            </w:tcMar>
          </w:tcPr>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 Privacy: Centralising vast personal financial data creates significant security and privacy risks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2cc" w:val="clear"/>
            <w:tcMar>
              <w:top w:w="80.0" w:type="dxa"/>
              <w:left w:w="200.0" w:type="dxa"/>
              <w:bottom w:w="80.0" w:type="dxa"/>
              <w:right w:w="180.0" w:type="dxa"/>
            </w:tcMar>
          </w:tcPr>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Adversarial Adaptation: Sophisticated fraudsters study detection patterns and adapt to evade AI systems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2cc" w:val="clear"/>
            <w:tcMar>
              <w:top w:w="80.0" w:type="dxa"/>
              <w:left w:w="200.0" w:type="dxa"/>
              <w:bottom w:w="80.0" w:type="dxa"/>
              <w:right w:w="180.0" w:type="dxa"/>
            </w:tcMar>
          </w:tcPr>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Legacy System Integration: Integrating cutting-edge AI with decades-old IRS IT infrastructure is technically challenging and costly</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2cc" w:val="clear"/>
            <w:tcMar>
              <w:top w:w="80.0" w:type="dxa"/>
              <w:left w:w="200.0" w:type="dxa"/>
              <w:bottom w:w="80.0" w:type="dxa"/>
              <w:right w:w="180.0" w:type="dxa"/>
            </w:tcMar>
          </w:tcPr>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Oversight and Accountability: Ensuring meaningful human oversight when AI flags millions of returns requires careful governance design</w:t>
            </w:r>
            <w:r w:rsidDel="00000000" w:rsidR="00000000" w:rsidRPr="00000000">
              <w:rPr>
                <w:rtl w:val="0"/>
              </w:rPr>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80" w:before="80" w:line="360" w:lineRule="auto"/>
        <w:jc w:val="both"/>
        <w:rPr/>
      </w:pPr>
      <w:r w:rsidDel="00000000" w:rsidR="00000000" w:rsidRPr="00000000">
        <w:rPr>
          <w:rFonts w:ascii="Arial" w:cs="Arial" w:eastAsia="Arial" w:hAnsi="Arial"/>
          <w:b w:val="0"/>
          <w:bCs w:val="0"/>
          <w:i w:val="0"/>
          <w:iCs w:val="0"/>
          <w:color w:val="000000"/>
          <w:sz w:val="22"/>
          <w:szCs w:val="22"/>
          <w:rtl w:val="0"/>
        </w:rPr>
        <w:t xml:space="preserve">These limitations underscore that AI is not a silver bullet. Successful public sector AI deployment requires robust governance frameworks, ongoing auditing for bias, strong cybersecurity, and clear legal frameworks for AI-assisted decision-making.</w:t>
      </w:r>
      <w:r w:rsidDel="00000000" w:rsidR="00000000" w:rsidRPr="00000000">
        <w:rPr>
          <w:rtl w:val="0"/>
        </w:rPr>
      </w:r>
    </w:p>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spacing w:after="160" w:before="360" w:lineRule="auto"/>
        <w:rPr/>
      </w:pPr>
      <w:r w:rsidDel="00000000" w:rsidR="00000000" w:rsidRPr="00000000">
        <w:rPr>
          <w:rFonts w:ascii="Arial" w:cs="Arial" w:eastAsia="Arial" w:hAnsi="Arial"/>
          <w:b w:val="1"/>
          <w:bCs w:val="1"/>
          <w:color w:val="1f3864"/>
          <w:sz w:val="32"/>
          <w:szCs w:val="32"/>
          <w:rtl w:val="0"/>
        </w:rPr>
        <w:t xml:space="preserve">3. Innovative Proposal: AI-Powered Predictive Policy Impact Assessment Platform</w:t>
      </w:r>
      <w:r w:rsidDel="00000000" w:rsidR="00000000" w:rsidRPr="00000000">
        <w:rPr>
          <w:rtl w:val="0"/>
        </w:rPr>
      </w:r>
    </w:p>
    <w:p w:rsidR="00000000" w:rsidDel="00000000" w:rsidP="00000000" w:rsidRDefault="00000000" w:rsidRPr="00000000" w14:paraId="0000006A">
      <w:pPr>
        <w:pBdr>
          <w:bottom w:color="2e75b6" w:space="1" w:sz="8" w:val="single"/>
        </w:pBdr>
        <w:spacing w:after="120" w:before="120" w:lineRule="auto"/>
        <w:rPr/>
      </w:pPr>
      <w:r w:rsidDel="00000000" w:rsidR="00000000" w:rsidRPr="00000000">
        <w:rPr>
          <w:rtl w:val="0"/>
        </w:rPr>
      </w:r>
    </w:p>
    <w:p w:rsidR="00000000" w:rsidDel="00000000" w:rsidP="00000000" w:rsidRDefault="00000000" w:rsidRPr="00000000" w14:paraId="0000006B">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3.1 Proposal Overview</w:t>
      </w:r>
      <w:r w:rsidDel="00000000" w:rsidR="00000000" w:rsidRPr="00000000">
        <w:rPr>
          <w:rtl w:val="0"/>
        </w:rPr>
      </w:r>
    </w:p>
    <w:p w:rsidR="00000000" w:rsidDel="00000000" w:rsidP="00000000" w:rsidRDefault="00000000" w:rsidRPr="00000000" w14:paraId="0000006C">
      <w:pPr>
        <w:spacing w:after="80" w:before="80" w:line="360" w:lineRule="auto"/>
        <w:jc w:val="both"/>
        <w:rPr/>
      </w:pPr>
      <w:r w:rsidDel="00000000" w:rsidR="00000000" w:rsidRPr="00000000">
        <w:rPr>
          <w:rFonts w:ascii="Arial" w:cs="Arial" w:eastAsia="Arial" w:hAnsi="Arial"/>
          <w:b w:val="0"/>
          <w:bCs w:val="0"/>
          <w:i w:val="0"/>
          <w:iCs w:val="0"/>
          <w:color w:val="000000"/>
          <w:sz w:val="22"/>
          <w:szCs w:val="22"/>
          <w:rtl w:val="0"/>
        </w:rPr>
        <w:t xml:space="preserve">Building on the demonstrated power of AI in government operations, this report proposes an AI-Powered Predictive Policy Impact Assessment (PPIA) Platform for legislative and executive branches of government. This system would use AI to simulate and forecast the multi-dimensional impact of proposed legislation before enactment, providing policymakers with data-driven insights to make more informed, effective decisions.</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3.2 The Problem Being Addressed</w:t>
      </w:r>
      <w:r w:rsidDel="00000000" w:rsidR="00000000" w:rsidRPr="00000000">
        <w:rPr>
          <w:rtl w:val="0"/>
        </w:rPr>
      </w:r>
    </w:p>
    <w:p w:rsidR="00000000" w:rsidDel="00000000" w:rsidP="00000000" w:rsidRDefault="00000000" w:rsidRPr="00000000" w14:paraId="0000006F">
      <w:pPr>
        <w:spacing w:after="80" w:before="80" w:line="360" w:lineRule="auto"/>
        <w:jc w:val="both"/>
        <w:rPr/>
      </w:pPr>
      <w:r w:rsidDel="00000000" w:rsidR="00000000" w:rsidRPr="00000000">
        <w:rPr>
          <w:rFonts w:ascii="Arial" w:cs="Arial" w:eastAsia="Arial" w:hAnsi="Arial"/>
          <w:b w:val="0"/>
          <w:bCs w:val="0"/>
          <w:i w:val="0"/>
          <w:iCs w:val="0"/>
          <w:color w:val="000000"/>
          <w:sz w:val="22"/>
          <w:szCs w:val="22"/>
          <w:rtl w:val="0"/>
        </w:rPr>
        <w:t xml:space="preserve">One of the most persistent challenges in democratic governance is the difficulty of accurately predicting the consequences of new laws and policies. Legislation is complex, affecting economic behaviour, public health, social equity, and environmental outcomes simultaneously. Traditional policy analysis relies on econometric models, expert opinion, and historical comparisons, all of which have significant limitations in capturing the full complexity of modern socio-economic systems.</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after="80" w:before="80" w:line="360" w:lineRule="auto"/>
        <w:jc w:val="both"/>
        <w:rPr/>
      </w:pPr>
      <w:r w:rsidDel="00000000" w:rsidR="00000000" w:rsidRPr="00000000">
        <w:rPr>
          <w:rFonts w:ascii="Arial" w:cs="Arial" w:eastAsia="Arial" w:hAnsi="Arial"/>
          <w:b w:val="0"/>
          <w:bCs w:val="0"/>
          <w:i w:val="0"/>
          <w:iCs w:val="0"/>
          <w:color w:val="000000"/>
          <w:sz w:val="22"/>
          <w:szCs w:val="22"/>
          <w:rtl w:val="0"/>
        </w:rPr>
        <w:t xml:space="preserve">Poor policy design, caused by incomplete impact analysis, results in billions of dollars in wasted public spending, unintended social consequences, and public distrust of government. A platform that dramatically improves the accuracy and breadth of pre-enactment policy assessment would represent a transformative advance in governance quality.</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3.3 How the AI Platform Would Work</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120.0" w:type="dxa"/>
              <w:left w:w="180.0" w:type="dxa"/>
              <w:bottom w:w="120.0" w:type="dxa"/>
              <w:right w:w="18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ffffff"/>
                <w:sz w:val="24"/>
                <w:szCs w:val="24"/>
                <w:rtl w:val="0"/>
              </w:rPr>
              <w:t xml:space="preserve">Core Components of the PPIA Platform</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d6e4f0" w:val="clear"/>
            <w:tcMar>
              <w:top w:w="80.0" w:type="dxa"/>
              <w:left w:w="200.0" w:type="dxa"/>
              <w:bottom w:w="80.0" w:type="dxa"/>
              <w:right w:w="180.0" w:type="dxa"/>
            </w:tcMar>
          </w:tcPr>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 Integration Layer: Aggregates economic indicators, census data, public health records, environmental data, social services usage statistics, and historical policy outcomes from government databases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d6e4f0" w:val="clear"/>
            <w:tcMar>
              <w:top w:w="80.0" w:type="dxa"/>
              <w:left w:w="200.0" w:type="dxa"/>
              <w:bottom w:w="80.0" w:type="dxa"/>
              <w:right w:w="180.0" w:type="dxa"/>
            </w:tcMar>
          </w:tcPr>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Natural Language Processing Engine: Automatically parses legislative text to identify key policy levers (tax rates, eligibility thresholds, funding allocations, regulatory mandates)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d6e4f0" w:val="clear"/>
            <w:tcMar>
              <w:top w:w="80.0" w:type="dxa"/>
              <w:left w:w="200.0" w:type="dxa"/>
              <w:bottom w:w="80.0" w:type="dxa"/>
              <w:right w:w="180.0" w:type="dxa"/>
            </w:tcMar>
          </w:tcPr>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Agent-Based Simulation Model: Simulates the behaviour of millions of virtual citizens, businesses, and institutions responding to proposed policy changes across multiple time horizons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d6e4f0" w:val="clear"/>
            <w:tcMar>
              <w:top w:w="80.0" w:type="dxa"/>
              <w:left w:w="200.0" w:type="dxa"/>
              <w:bottom w:w="80.0" w:type="dxa"/>
              <w:right w:w="180.0" w:type="dxa"/>
            </w:tcMar>
          </w:tcPr>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Causal Inference Module: Uses advanced statistical methods to isolate the causal impact of policy changes from confounding socio-economic trends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d6e4f0" w:val="clear"/>
            <w:tcMar>
              <w:top w:w="80.0" w:type="dxa"/>
              <w:left w:w="200.0" w:type="dxa"/>
              <w:bottom w:w="80.0" w:type="dxa"/>
              <w:right w:w="180.0" w:type="dxa"/>
            </w:tcMar>
          </w:tcPr>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Multi-Objective Impact Dashboard: Presents projected impacts across economic, health, equity, environmental, and fiscal dimensions with confidence intervals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d6e4f0" w:val="clear"/>
            <w:tcMar>
              <w:top w:w="80.0" w:type="dxa"/>
              <w:left w:w="200.0" w:type="dxa"/>
              <w:bottom w:w="80.0" w:type="dxa"/>
              <w:right w:w="180.0" w:type="dxa"/>
            </w:tcMar>
          </w:tcPr>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Scenario Comparison Tool: Allows policymakers to compare multiple policy variants and automatically identifies trade-offs between competing objectives</w:t>
            </w:r>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3.4 Expected Outcomes and Benefits</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120.0" w:type="dxa"/>
              <w:left w:w="180.0" w:type="dxa"/>
              <w:bottom w:w="120.0" w:type="dxa"/>
              <w:right w:w="18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ffffff"/>
                <w:sz w:val="23"/>
                <w:szCs w:val="23"/>
                <w:rtl w:val="0"/>
              </w:rPr>
              <w:t xml:space="preserve">Stakeholder</w:t>
            </w:r>
            <w:r w:rsidDel="00000000" w:rsidR="00000000" w:rsidRPr="00000000">
              <w:rPr>
                <w:rtl w:val="0"/>
              </w:rPr>
            </w:r>
          </w:p>
        </w:tc>
        <w:tc>
          <w:tcPr>
            <w:tcBorders>
              <w:top w:color="1e7145" w:space="0" w:sz="4" w:val="single"/>
              <w:left w:color="1e7145" w:space="0" w:sz="4" w:val="single"/>
              <w:bottom w:color="1e7145" w:space="0" w:sz="4" w:val="single"/>
              <w:right w:color="1e7145" w:space="0" w:sz="4" w:val="single"/>
            </w:tcBorders>
            <w:shd w:fill="1e7145" w:val="clear"/>
            <w:tcMar>
              <w:top w:w="120.0" w:type="dxa"/>
              <w:left w:w="180.0" w:type="dxa"/>
              <w:bottom w:w="120.0" w:type="dxa"/>
              <w:right w:w="18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ffffff"/>
                <w:sz w:val="23"/>
                <w:szCs w:val="23"/>
                <w:rtl w:val="0"/>
              </w:rPr>
              <w:t xml:space="preserve">Expected Benefit</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d6e4f0" w:val="clear"/>
            <w:tcMar>
              <w:top w:w="80.0" w:type="dxa"/>
              <w:left w:w="160.0" w:type="dxa"/>
              <w:bottom w:w="80.0" w:type="dxa"/>
              <w:right w:w="160.0" w:type="dxa"/>
            </w:tcMar>
          </w:tcPr>
          <w:p w:rsidR="00000000" w:rsidDel="00000000" w:rsidP="00000000" w:rsidRDefault="00000000" w:rsidRPr="00000000" w14:paraId="00000080">
            <w:pPr>
              <w:rPr/>
            </w:pPr>
            <w:r w:rsidDel="00000000" w:rsidR="00000000" w:rsidRPr="00000000">
              <w:rPr>
                <w:rFonts w:ascii="Arial" w:cs="Arial" w:eastAsia="Arial" w:hAnsi="Arial"/>
                <w:sz w:val="21"/>
                <w:szCs w:val="21"/>
                <w:rtl w:val="0"/>
              </w:rPr>
              <w:t xml:space="preserve">Legislators</w:t>
            </w:r>
            <w:r w:rsidDel="00000000" w:rsidR="00000000" w:rsidRPr="00000000">
              <w:rPr>
                <w:rtl w:val="0"/>
              </w:rPr>
            </w:r>
          </w:p>
        </w:tc>
        <w:tc>
          <w:tcPr>
            <w:tcBorders>
              <w:top w:color="8fc9a0" w:space="0" w:sz="4" w:val="single"/>
              <w:left w:color="8fc9a0" w:space="0" w:sz="4" w:val="single"/>
              <w:bottom w:color="8fc9a0" w:space="0" w:sz="4" w:val="single"/>
              <w:right w:color="8fc9a0" w:space="0" w:sz="4" w:val="single"/>
            </w:tcBorders>
            <w:shd w:fill="e2efda" w:val="clear"/>
            <w:tcMar>
              <w:top w:w="80.0" w:type="dxa"/>
              <w:left w:w="160.0" w:type="dxa"/>
              <w:bottom w:w="80.0" w:type="dxa"/>
              <w:right w:w="160.0" w:type="dxa"/>
            </w:tcMar>
          </w:tcPr>
          <w:p w:rsidR="00000000" w:rsidDel="00000000" w:rsidP="00000000" w:rsidRDefault="00000000" w:rsidRPr="00000000" w14:paraId="00000081">
            <w:pPr>
              <w:rPr/>
            </w:pPr>
            <w:r w:rsidDel="00000000" w:rsidR="00000000" w:rsidRPr="00000000">
              <w:rPr>
                <w:rFonts w:ascii="Arial" w:cs="Arial" w:eastAsia="Arial" w:hAnsi="Arial"/>
                <w:sz w:val="21"/>
                <w:szCs w:val="21"/>
                <w:rtl w:val="0"/>
              </w:rPr>
              <w:t xml:space="preserve">Evidence-based drafting; fewer unintended consequences; stronger public justification for policy choices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d6e4f0" w:val="clear"/>
            <w:tcMar>
              <w:top w:w="80.0" w:type="dxa"/>
              <w:left w:w="160.0" w:type="dxa"/>
              <w:bottom w:w="80.0" w:type="dxa"/>
              <w:right w:w="160.0" w:type="dxa"/>
            </w:tcMar>
          </w:tcPr>
          <w:p w:rsidR="00000000" w:rsidDel="00000000" w:rsidP="00000000" w:rsidRDefault="00000000" w:rsidRPr="00000000" w14:paraId="00000082">
            <w:pPr>
              <w:rPr/>
            </w:pPr>
            <w:r w:rsidDel="00000000" w:rsidR="00000000" w:rsidRPr="00000000">
              <w:rPr>
                <w:rFonts w:ascii="Arial" w:cs="Arial" w:eastAsia="Arial" w:hAnsi="Arial"/>
                <w:sz w:val="21"/>
                <w:szCs w:val="21"/>
                <w:rtl w:val="0"/>
              </w:rPr>
              <w:t xml:space="preserve">Citizens</w:t>
            </w:r>
            <w:r w:rsidDel="00000000" w:rsidR="00000000" w:rsidRPr="00000000">
              <w:rPr>
                <w:rtl w:val="0"/>
              </w:rPr>
            </w:r>
          </w:p>
        </w:tc>
        <w:tc>
          <w:tcPr>
            <w:tcBorders>
              <w:top w:color="8fc9a0" w:space="0" w:sz="4" w:val="single"/>
              <w:left w:color="8fc9a0" w:space="0" w:sz="4" w:val="single"/>
              <w:bottom w:color="8fc9a0" w:space="0" w:sz="4" w:val="single"/>
              <w:right w:color="8fc9a0" w:space="0" w:sz="4" w:val="single"/>
            </w:tcBorders>
            <w:shd w:fill="e2efda" w:val="clear"/>
            <w:tcMar>
              <w:top w:w="80.0" w:type="dxa"/>
              <w:left w:w="160.0" w:type="dxa"/>
              <w:bottom w:w="80.0" w:type="dxa"/>
              <w:right w:w="160.0" w:type="dxa"/>
            </w:tcMar>
          </w:tcPr>
          <w:p w:rsidR="00000000" w:rsidDel="00000000" w:rsidP="00000000" w:rsidRDefault="00000000" w:rsidRPr="00000000" w14:paraId="00000083">
            <w:pPr>
              <w:rPr/>
            </w:pPr>
            <w:r w:rsidDel="00000000" w:rsidR="00000000" w:rsidRPr="00000000">
              <w:rPr>
                <w:rFonts w:ascii="Arial" w:cs="Arial" w:eastAsia="Arial" w:hAnsi="Arial"/>
                <w:sz w:val="21"/>
                <w:szCs w:val="21"/>
                <w:rtl w:val="0"/>
              </w:rPr>
              <w:t xml:space="preserve">More effective laws; reduced wasteful spending; greater transparency in policy decisions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d6e4f0" w:val="clear"/>
            <w:tcMar>
              <w:top w:w="80.0" w:type="dxa"/>
              <w:left w:w="160.0" w:type="dxa"/>
              <w:bottom w:w="80.0" w:type="dxa"/>
              <w:right w:w="160.0" w:type="dxa"/>
            </w:tcMar>
          </w:tcPr>
          <w:p w:rsidR="00000000" w:rsidDel="00000000" w:rsidP="00000000" w:rsidRDefault="00000000" w:rsidRPr="00000000" w14:paraId="00000084">
            <w:pPr>
              <w:rPr/>
            </w:pPr>
            <w:r w:rsidDel="00000000" w:rsidR="00000000" w:rsidRPr="00000000">
              <w:rPr>
                <w:rFonts w:ascii="Arial" w:cs="Arial" w:eastAsia="Arial" w:hAnsi="Arial"/>
                <w:sz w:val="21"/>
                <w:szCs w:val="21"/>
                <w:rtl w:val="0"/>
              </w:rPr>
              <w:t xml:space="preserve">Government Analysts</w:t>
            </w:r>
            <w:r w:rsidDel="00000000" w:rsidR="00000000" w:rsidRPr="00000000">
              <w:rPr>
                <w:rtl w:val="0"/>
              </w:rPr>
            </w:r>
          </w:p>
        </w:tc>
        <w:tc>
          <w:tcPr>
            <w:tcBorders>
              <w:top w:color="8fc9a0" w:space="0" w:sz="4" w:val="single"/>
              <w:left w:color="8fc9a0" w:space="0" w:sz="4" w:val="single"/>
              <w:bottom w:color="8fc9a0" w:space="0" w:sz="4" w:val="single"/>
              <w:right w:color="8fc9a0" w:space="0" w:sz="4" w:val="single"/>
            </w:tcBorders>
            <w:shd w:fill="e2efda" w:val="clear"/>
            <w:tcMar>
              <w:top w:w="80.0" w:type="dxa"/>
              <w:left w:w="160.0" w:type="dxa"/>
              <w:bottom w:w="80.0" w:type="dxa"/>
              <w:right w:w="160.0" w:type="dxa"/>
            </w:tcMar>
          </w:tcPr>
          <w:p w:rsidR="00000000" w:rsidDel="00000000" w:rsidP="00000000" w:rsidRDefault="00000000" w:rsidRPr="00000000" w14:paraId="00000085">
            <w:pPr>
              <w:rPr/>
            </w:pPr>
            <w:r w:rsidDel="00000000" w:rsidR="00000000" w:rsidRPr="00000000">
              <w:rPr>
                <w:rFonts w:ascii="Arial" w:cs="Arial" w:eastAsia="Arial" w:hAnsi="Arial"/>
                <w:sz w:val="21"/>
                <w:szCs w:val="21"/>
                <w:rtl w:val="0"/>
              </w:rPr>
              <w:t xml:space="preserve">Faster, more comprehensive analysis replacing months of manual modelling</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d6e4f0" w:val="clear"/>
            <w:tcMar>
              <w:top w:w="80.0" w:type="dxa"/>
              <w:left w:w="160.0" w:type="dxa"/>
              <w:bottom w:w="80.0" w:type="dxa"/>
              <w:right w:w="160.0" w:type="dxa"/>
            </w:tcMar>
          </w:tcPr>
          <w:p w:rsidR="00000000" w:rsidDel="00000000" w:rsidP="00000000" w:rsidRDefault="00000000" w:rsidRPr="00000000" w14:paraId="00000086">
            <w:pPr>
              <w:rPr/>
            </w:pPr>
            <w:r w:rsidDel="00000000" w:rsidR="00000000" w:rsidRPr="00000000">
              <w:rPr>
                <w:rFonts w:ascii="Arial" w:cs="Arial" w:eastAsia="Arial" w:hAnsi="Arial"/>
                <w:sz w:val="21"/>
                <w:szCs w:val="21"/>
                <w:rtl w:val="0"/>
              </w:rPr>
              <w:t xml:space="preserve">Minority Communities</w:t>
            </w:r>
            <w:r w:rsidDel="00000000" w:rsidR="00000000" w:rsidRPr="00000000">
              <w:rPr>
                <w:rtl w:val="0"/>
              </w:rPr>
            </w:r>
          </w:p>
        </w:tc>
        <w:tc>
          <w:tcPr>
            <w:tcBorders>
              <w:top w:color="8fc9a0" w:space="0" w:sz="4" w:val="single"/>
              <w:left w:color="8fc9a0" w:space="0" w:sz="4" w:val="single"/>
              <w:bottom w:color="8fc9a0" w:space="0" w:sz="4" w:val="single"/>
              <w:right w:color="8fc9a0" w:space="0" w:sz="4" w:val="single"/>
            </w:tcBorders>
            <w:shd w:fill="e2efda" w:val="clear"/>
            <w:tcMar>
              <w:top w:w="80.0" w:type="dxa"/>
              <w:left w:w="160.0" w:type="dxa"/>
              <w:bottom w:w="80.0" w:type="dxa"/>
              <w:right w:w="160.0" w:type="dxa"/>
            </w:tcMar>
          </w:tcPr>
          <w:p w:rsidR="00000000" w:rsidDel="00000000" w:rsidP="00000000" w:rsidRDefault="00000000" w:rsidRPr="00000000" w14:paraId="00000087">
            <w:pPr>
              <w:rPr/>
            </w:pPr>
            <w:r w:rsidDel="00000000" w:rsidR="00000000" w:rsidRPr="00000000">
              <w:rPr>
                <w:rFonts w:ascii="Arial" w:cs="Arial" w:eastAsia="Arial" w:hAnsi="Arial"/>
                <w:sz w:val="21"/>
                <w:szCs w:val="21"/>
                <w:rtl w:val="0"/>
              </w:rPr>
              <w:t xml:space="preserve">Equity impact assessment ensures proposed laws do not disproportionately harm vulnerable groups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d6e4f0" w:val="clear"/>
            <w:tcMar>
              <w:top w:w="80.0" w:type="dxa"/>
              <w:left w:w="160.0" w:type="dxa"/>
              <w:bottom w:w="80.0" w:type="dxa"/>
              <w:right w:w="160.0" w:type="dxa"/>
            </w:tcMar>
          </w:tcPr>
          <w:p w:rsidR="00000000" w:rsidDel="00000000" w:rsidP="00000000" w:rsidRDefault="00000000" w:rsidRPr="00000000" w14:paraId="00000088">
            <w:pPr>
              <w:rPr/>
            </w:pPr>
            <w:r w:rsidDel="00000000" w:rsidR="00000000" w:rsidRPr="00000000">
              <w:rPr>
                <w:rFonts w:ascii="Arial" w:cs="Arial" w:eastAsia="Arial" w:hAnsi="Arial"/>
                <w:sz w:val="21"/>
                <w:szCs w:val="21"/>
                <w:rtl w:val="0"/>
              </w:rPr>
              <w:t xml:space="preserve">Fiscal Authorities</w:t>
            </w:r>
            <w:r w:rsidDel="00000000" w:rsidR="00000000" w:rsidRPr="00000000">
              <w:rPr>
                <w:rtl w:val="0"/>
              </w:rPr>
            </w:r>
          </w:p>
        </w:tc>
        <w:tc>
          <w:tcPr>
            <w:tcBorders>
              <w:top w:color="8fc9a0" w:space="0" w:sz="4" w:val="single"/>
              <w:left w:color="8fc9a0" w:space="0" w:sz="4" w:val="single"/>
              <w:bottom w:color="8fc9a0" w:space="0" w:sz="4" w:val="single"/>
              <w:right w:color="8fc9a0" w:space="0" w:sz="4" w:val="single"/>
            </w:tcBorders>
            <w:shd w:fill="e2efda" w:val="clear"/>
            <w:tcMar>
              <w:top w:w="80.0" w:type="dxa"/>
              <w:left w:w="160.0" w:type="dxa"/>
              <w:bottom w:w="80.0" w:type="dxa"/>
              <w:right w:w="160.0" w:type="dxa"/>
            </w:tcMar>
          </w:tcPr>
          <w:p w:rsidR="00000000" w:rsidDel="00000000" w:rsidP="00000000" w:rsidRDefault="00000000" w:rsidRPr="00000000" w14:paraId="00000089">
            <w:pPr>
              <w:rPr/>
            </w:pPr>
            <w:r w:rsidDel="00000000" w:rsidR="00000000" w:rsidRPr="00000000">
              <w:rPr>
                <w:rFonts w:ascii="Arial" w:cs="Arial" w:eastAsia="Arial" w:hAnsi="Arial"/>
                <w:sz w:val="21"/>
                <w:szCs w:val="21"/>
                <w:rtl w:val="0"/>
              </w:rPr>
              <w:t xml:space="preserve">More accurate budget projections and cost-benefit analyses before commitment of public funds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d6e4f0" w:val="clear"/>
            <w:tcMar>
              <w:top w:w="80.0" w:type="dxa"/>
              <w:left w:w="160.0" w:type="dxa"/>
              <w:bottom w:w="80.0" w:type="dxa"/>
              <w:right w:w="160.0" w:type="dxa"/>
            </w:tcMar>
          </w:tcPr>
          <w:p w:rsidR="00000000" w:rsidDel="00000000" w:rsidP="00000000" w:rsidRDefault="00000000" w:rsidRPr="00000000" w14:paraId="0000008A">
            <w:pPr>
              <w:rPr/>
            </w:pPr>
            <w:r w:rsidDel="00000000" w:rsidR="00000000" w:rsidRPr="00000000">
              <w:rPr>
                <w:rFonts w:ascii="Arial" w:cs="Arial" w:eastAsia="Arial" w:hAnsi="Arial"/>
                <w:sz w:val="21"/>
                <w:szCs w:val="21"/>
                <w:rtl w:val="0"/>
              </w:rPr>
              <w:t xml:space="preserve">Judiciary</w:t>
            </w:r>
            <w:r w:rsidDel="00000000" w:rsidR="00000000" w:rsidRPr="00000000">
              <w:rPr>
                <w:rtl w:val="0"/>
              </w:rPr>
            </w:r>
          </w:p>
        </w:tc>
        <w:tc>
          <w:tcPr>
            <w:tcBorders>
              <w:top w:color="8fc9a0" w:space="0" w:sz="4" w:val="single"/>
              <w:left w:color="8fc9a0" w:space="0" w:sz="4" w:val="single"/>
              <w:bottom w:color="8fc9a0" w:space="0" w:sz="4" w:val="single"/>
              <w:right w:color="8fc9a0" w:space="0" w:sz="4" w:val="single"/>
            </w:tcBorders>
            <w:shd w:fill="e2efda" w:val="clear"/>
            <w:tcMar>
              <w:top w:w="80.0" w:type="dxa"/>
              <w:left w:w="160.0" w:type="dxa"/>
              <w:bottom w:w="80.0" w:type="dxa"/>
              <w:right w:w="160.0" w:type="dxa"/>
            </w:tcMar>
          </w:tcPr>
          <w:p w:rsidR="00000000" w:rsidDel="00000000" w:rsidP="00000000" w:rsidRDefault="00000000" w:rsidRPr="00000000" w14:paraId="0000008B">
            <w:pPr>
              <w:rPr/>
            </w:pPr>
            <w:r w:rsidDel="00000000" w:rsidR="00000000" w:rsidRPr="00000000">
              <w:rPr>
                <w:rFonts w:ascii="Arial" w:cs="Arial" w:eastAsia="Arial" w:hAnsi="Arial"/>
                <w:sz w:val="21"/>
                <w:szCs w:val="21"/>
                <w:rtl w:val="0"/>
              </w:rPr>
              <w:t xml:space="preserve">Clearer legislative intent documentation reduces ambiguity in legal interpretation</w:t>
            </w:r>
            <w:r w:rsidDel="00000000" w:rsidR="00000000" w:rsidRPr="00000000">
              <w:rPr>
                <w:rtl w:val="0"/>
              </w:rPr>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3.5 Feasibility and Justification</w:t>
      </w:r>
      <w:r w:rsidDel="00000000" w:rsidR="00000000" w:rsidRPr="00000000">
        <w:rPr>
          <w:rtl w:val="0"/>
        </w:rPr>
      </w:r>
    </w:p>
    <w:p w:rsidR="00000000" w:rsidDel="00000000" w:rsidP="00000000" w:rsidRDefault="00000000" w:rsidRPr="00000000" w14:paraId="0000008E">
      <w:pPr>
        <w:spacing w:after="80" w:before="80" w:line="360" w:lineRule="auto"/>
        <w:jc w:val="both"/>
        <w:rPr/>
      </w:pPr>
      <w:r w:rsidDel="00000000" w:rsidR="00000000" w:rsidRPr="00000000">
        <w:rPr>
          <w:rFonts w:ascii="Arial" w:cs="Arial" w:eastAsia="Arial" w:hAnsi="Arial"/>
          <w:b w:val="0"/>
          <w:bCs w:val="0"/>
          <w:i w:val="0"/>
          <w:iCs w:val="0"/>
          <w:color w:val="000000"/>
          <w:sz w:val="22"/>
          <w:szCs w:val="22"/>
          <w:rtl w:val="0"/>
        </w:rPr>
        <w:t xml:space="preserve">The technological components required for this platform already exist. Agent-based modelling is used in academic policy research, NLP tools can parse legal text, and causal inference techniques are well-developed in economics and public health research. The innovation lies in integrating these capabilities into a single, government-grade platform with secure access for legislators and their staff.</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after="80" w:before="80" w:line="360" w:lineRule="auto"/>
        <w:jc w:val="both"/>
        <w:rPr/>
      </w:pPr>
      <w:r w:rsidDel="00000000" w:rsidR="00000000" w:rsidRPr="00000000">
        <w:rPr>
          <w:rFonts w:ascii="Arial" w:cs="Arial" w:eastAsia="Arial" w:hAnsi="Arial"/>
          <w:b w:val="0"/>
          <w:bCs w:val="0"/>
          <w:i w:val="0"/>
          <w:iCs w:val="0"/>
          <w:color w:val="000000"/>
          <w:sz w:val="22"/>
          <w:szCs w:val="22"/>
          <w:rtl w:val="0"/>
        </w:rPr>
        <w:t xml:space="preserve">Analogous systems are already being piloted. Singapore's Smart Nation initiative uses data simulation for urban planning, while the UK's Office for Budget Responsibility uses sophisticated economic modelling for fiscal forecasting. The proposed PPIA platform would systematise and democratise access to such analysis across all areas of policymaking.</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3.6 Potential Challenges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120.0" w:type="dxa"/>
              <w:left w:w="180.0" w:type="dxa"/>
              <w:bottom w:w="120.0" w:type="dxa"/>
              <w:right w:w="18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ffffff"/>
                <w:sz w:val="24"/>
                <w:szCs w:val="24"/>
                <w:rtl w:val="0"/>
              </w:rPr>
              <w:t xml:space="preserve">Challenges and Mitigation Strategies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e2efda" w:val="clear"/>
            <w:tcMar>
              <w:top w:w="80.0" w:type="dxa"/>
              <w:left w:w="200.0" w:type="dxa"/>
              <w:bottom w:w="80.0" w:type="dxa"/>
              <w:right w:w="180.0" w:type="dxa"/>
            </w:tcMar>
          </w:tcPr>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Model Uncertainty: AI predictions carry uncertainty; solution is to present confidence ranges, not point estimates, and mandate human interpretation</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e2efda" w:val="clear"/>
            <w:tcMar>
              <w:top w:w="80.0" w:type="dxa"/>
              <w:left w:w="200.0" w:type="dxa"/>
              <w:bottom w:w="80.0" w:type="dxa"/>
              <w:right w:w="180.0" w:type="dxa"/>
            </w:tcMar>
          </w:tcPr>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Political Misuse: Risk that findings are selectively cited; solution is independent governance of the platform, with full public transparency of methodology</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e2efda" w:val="clear"/>
            <w:tcMar>
              <w:top w:w="80.0" w:type="dxa"/>
              <w:left w:w="200.0" w:type="dxa"/>
              <w:bottom w:w="80.0" w:type="dxa"/>
              <w:right w:w="180.0" w:type="dxa"/>
            </w:tcMar>
          </w:tcPr>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 Quality: Garbage in, garbage out; solution is investment in data quality infrastructure and rigorous validation against historical policy outcomes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e2efda" w:val="clear"/>
            <w:tcMar>
              <w:top w:w="80.0" w:type="dxa"/>
              <w:left w:w="200.0" w:type="dxa"/>
              <w:bottom w:w="80.0" w:type="dxa"/>
              <w:right w:w="180.0" w:type="dxa"/>
            </w:tcMar>
          </w:tcPr>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Institutional Resistance: Legislators may distrust or resist AI-generated analysis; solution is phased adoption with human analysts remaining central to interpretation</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e2efda" w:val="clear"/>
            <w:tcMar>
              <w:top w:w="80.0" w:type="dxa"/>
              <w:left w:w="200.0" w:type="dxa"/>
              <w:bottom w:w="80.0" w:type="dxa"/>
              <w:right w:w="180.0" w:type="dxa"/>
            </w:tcMar>
          </w:tcPr>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Ethical Concerns: AI predictions may entrench status quo assumptions; solution is equity audit requirements built into every analysis</w:t>
            </w:r>
            <w:r w:rsidDel="00000000" w:rsidR="00000000" w:rsidRPr="00000000">
              <w:rPr>
                <w:rtl w:val="0"/>
              </w:rPr>
            </w:r>
          </w:p>
        </w:tc>
      </w:tr>
    </w:tbl>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spacing w:after="160" w:before="360" w:lineRule="auto"/>
        <w:rPr/>
      </w:pPr>
      <w:r w:rsidDel="00000000" w:rsidR="00000000" w:rsidRPr="00000000">
        <w:rPr>
          <w:rFonts w:ascii="Arial" w:cs="Arial" w:eastAsia="Arial" w:hAnsi="Arial"/>
          <w:b w:val="1"/>
          <w:bCs w:val="1"/>
          <w:color w:val="1f3864"/>
          <w:sz w:val="32"/>
          <w:szCs w:val="32"/>
          <w:rtl w:val="0"/>
        </w:rPr>
        <w:t xml:space="preserve">4. Conclusion</w:t>
      </w:r>
      <w:r w:rsidDel="00000000" w:rsidR="00000000" w:rsidRPr="00000000">
        <w:rPr>
          <w:rtl w:val="0"/>
        </w:rPr>
      </w:r>
    </w:p>
    <w:p w:rsidR="00000000" w:rsidDel="00000000" w:rsidP="00000000" w:rsidRDefault="00000000" w:rsidRPr="00000000" w14:paraId="0000009B">
      <w:pPr>
        <w:pBdr>
          <w:bottom w:color="2e75b6" w:space="1" w:sz="8" w:val="single"/>
        </w:pBdr>
        <w:spacing w:after="120" w:before="120" w:lineRule="auto"/>
        <w:rPr/>
      </w:pPr>
      <w:r w:rsidDel="00000000" w:rsidR="00000000" w:rsidRPr="00000000">
        <w:rPr>
          <w:rtl w:val="0"/>
        </w:rPr>
      </w:r>
    </w:p>
    <w:p w:rsidR="00000000" w:rsidDel="00000000" w:rsidP="00000000" w:rsidRDefault="00000000" w:rsidRPr="00000000" w14:paraId="0000009C">
      <w:pPr>
        <w:spacing w:after="80" w:before="80" w:line="360" w:lineRule="auto"/>
        <w:jc w:val="both"/>
        <w:rPr/>
      </w:pPr>
      <w:r w:rsidDel="00000000" w:rsidR="00000000" w:rsidRPr="00000000">
        <w:rPr>
          <w:rFonts w:ascii="Arial" w:cs="Arial" w:eastAsia="Arial" w:hAnsi="Arial"/>
          <w:b w:val="0"/>
          <w:bCs w:val="0"/>
          <w:i w:val="0"/>
          <w:iCs w:val="0"/>
          <w:color w:val="000000"/>
          <w:sz w:val="22"/>
          <w:szCs w:val="22"/>
          <w:rtl w:val="0"/>
        </w:rPr>
        <w:t xml:space="preserve">This report has demonstrated that AI offers profound and practical advantages for government and public sector operations. The IRS Return Review Program illustrates how machine learning, network analysis, and predictive modelling can detect fraud at a scale and speed impossible for human analysts alone, preventing billions in fraudulent refunds while improving the experience of legitimate taxpayers.</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spacing w:after="80" w:before="80" w:line="360" w:lineRule="auto"/>
        <w:jc w:val="both"/>
        <w:rPr/>
      </w:pPr>
      <w:r w:rsidDel="00000000" w:rsidR="00000000" w:rsidRPr="00000000">
        <w:rPr>
          <w:rFonts w:ascii="Arial" w:cs="Arial" w:eastAsia="Arial" w:hAnsi="Arial"/>
          <w:b w:val="0"/>
          <w:bCs w:val="0"/>
          <w:i w:val="0"/>
          <w:iCs w:val="0"/>
          <w:color w:val="000000"/>
          <w:sz w:val="22"/>
          <w:szCs w:val="22"/>
          <w:rtl w:val="0"/>
        </w:rPr>
        <w:t xml:space="preserve">At the same time, the IRS case study highlights that effective public sector AI deployment is not simply a matter of technical implementation. It requires careful attention to algorithmic fairness, explainability, data security, and robust human oversight. AI in government must be accountable AI.</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spacing w:after="80" w:before="80" w:line="360" w:lineRule="auto"/>
        <w:jc w:val="both"/>
        <w:rPr/>
      </w:pPr>
      <w:r w:rsidDel="00000000" w:rsidR="00000000" w:rsidRPr="00000000">
        <w:rPr>
          <w:rFonts w:ascii="Arial" w:cs="Arial" w:eastAsia="Arial" w:hAnsi="Arial"/>
          <w:b w:val="0"/>
          <w:bCs w:val="0"/>
          <w:i w:val="0"/>
          <w:iCs w:val="0"/>
          <w:color w:val="000000"/>
          <w:sz w:val="22"/>
          <w:szCs w:val="22"/>
          <w:rtl w:val="0"/>
        </w:rPr>
        <w:t xml:space="preserve">The proposed AI-Powered Predictive Policy Impact Assessment Platform represents a logical and ambitious next step: moving AI from operational efficiency into the heart of democratic governance itself. By giving legislators data-driven foresight into the likely consequences of their decisions, such a platform could meaningfully improve the quality, fairness, and effectiveness of public policy.</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pacing w:after="80" w:before="80" w:line="360" w:lineRule="auto"/>
        <w:jc w:val="both"/>
        <w:rPr/>
      </w:pPr>
      <w:r w:rsidDel="00000000" w:rsidR="00000000" w:rsidRPr="00000000">
        <w:rPr>
          <w:rFonts w:ascii="Arial" w:cs="Arial" w:eastAsia="Arial" w:hAnsi="Arial"/>
          <w:b w:val="0"/>
          <w:bCs w:val="0"/>
          <w:i w:val="0"/>
          <w:iCs w:val="0"/>
          <w:color w:val="000000"/>
          <w:sz w:val="22"/>
          <w:szCs w:val="22"/>
          <w:rtl w:val="0"/>
        </w:rPr>
        <w:t xml:space="preserve">As AI capabilities continue to advance, the question for governments is not whether to adopt AI, but how to do so responsibly, transparently, and in service of the public good. The case studies and proposals explored in this report suggest that, with thoughtful implementation, AI has the potential to make government more effective, more equitable, and more responsive to the needs of citizens.</w:t>
      </w:r>
      <w:r w:rsidDel="00000000" w:rsidR="00000000" w:rsidRPr="00000000">
        <w:rPr>
          <w:rtl w:val="0"/>
        </w:rPr>
      </w:r>
    </w:p>
    <w:p w:rsidR="00000000" w:rsidDel="00000000" w:rsidP="00000000" w:rsidRDefault="00000000" w:rsidRPr="00000000" w14:paraId="000000A3">
      <w:pPr>
        <w:rPr/>
      </w:pP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spacing w:after="160" w:before="360" w:lineRule="auto"/>
        <w:rPr/>
      </w:pPr>
      <w:r w:rsidDel="00000000" w:rsidR="00000000" w:rsidRPr="00000000">
        <w:rPr>
          <w:rFonts w:ascii="Arial" w:cs="Arial" w:eastAsia="Arial" w:hAnsi="Arial"/>
          <w:b w:val="1"/>
          <w:bCs w:val="1"/>
          <w:color w:val="1f3864"/>
          <w:sz w:val="32"/>
          <w:szCs w:val="32"/>
          <w:rtl w:val="0"/>
        </w:rPr>
        <w:t xml:space="preserve">5. References</w:t>
      </w:r>
      <w:r w:rsidDel="00000000" w:rsidR="00000000" w:rsidRPr="00000000">
        <w:rPr>
          <w:rtl w:val="0"/>
        </w:rPr>
      </w:r>
    </w:p>
    <w:p w:rsidR="00000000" w:rsidDel="00000000" w:rsidP="00000000" w:rsidRDefault="00000000" w:rsidRPr="00000000" w14:paraId="000000A5">
      <w:pPr>
        <w:pBdr>
          <w:bottom w:color="2e75b6" w:space="1" w:sz="8" w:val="single"/>
        </w:pBdr>
        <w:spacing w:after="120" w:before="120" w:lineRule="auto"/>
        <w:rPr/>
      </w:pPr>
      <w:r w:rsidDel="00000000" w:rsidR="00000000" w:rsidRPr="00000000">
        <w:rPr>
          <w:rtl w:val="0"/>
        </w:rPr>
      </w:r>
    </w:p>
    <w:p w:rsidR="00000000" w:rsidDel="00000000" w:rsidP="00000000" w:rsidRDefault="00000000" w:rsidRPr="00000000" w14:paraId="000000A6">
      <w:pPr>
        <w:spacing w:after="80" w:before="80" w:line="360" w:lineRule="auto"/>
        <w:jc w:val="both"/>
        <w:rPr/>
      </w:pPr>
      <w:r w:rsidDel="00000000" w:rsidR="00000000" w:rsidRPr="00000000">
        <w:rPr>
          <w:rFonts w:ascii="Arial" w:cs="Arial" w:eastAsia="Arial" w:hAnsi="Arial"/>
          <w:b w:val="0"/>
          <w:bCs w:val="0"/>
          <w:i w:val="0"/>
          <w:iCs w:val="0"/>
          <w:color w:val="000000"/>
          <w:sz w:val="22"/>
          <w:szCs w:val="22"/>
          <w:rtl w:val="0"/>
        </w:rPr>
        <w:t xml:space="preserve">The following sources were consulted in the preparation of this report:</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after="40" w:before="100" w:line="320" w:lineRule="auto"/>
        <w:ind w:left="720" w:hanging="720"/>
        <w:rPr/>
      </w:pPr>
      <w:r w:rsidDel="00000000" w:rsidR="00000000" w:rsidRPr="00000000">
        <w:rPr>
          <w:rFonts w:ascii="Arial" w:cs="Arial" w:eastAsia="Arial" w:hAnsi="Arial"/>
          <w:color w:val="595959"/>
          <w:sz w:val="20"/>
          <w:szCs w:val="20"/>
          <w:rtl w:val="0"/>
        </w:rPr>
        <w:t xml:space="preserve">Coglianese, C., &amp; Lehr, D. (2017). Regulating by robot: Administrative decision making in the machine-learning era. Georgetown Law Journal, 105(5), 1147–1223.</w:t>
      </w:r>
      <w:r w:rsidDel="00000000" w:rsidR="00000000" w:rsidRPr="00000000">
        <w:rPr>
          <w:rtl w:val="0"/>
        </w:rPr>
      </w:r>
    </w:p>
    <w:p w:rsidR="00000000" w:rsidDel="00000000" w:rsidP="00000000" w:rsidRDefault="00000000" w:rsidRPr="00000000" w14:paraId="000000A9">
      <w:pPr>
        <w:spacing w:after="40" w:before="100" w:line="320" w:lineRule="auto"/>
        <w:ind w:left="720" w:hanging="720"/>
        <w:rPr/>
      </w:pPr>
      <w:r w:rsidDel="00000000" w:rsidR="00000000" w:rsidRPr="00000000">
        <w:rPr>
          <w:rFonts w:ascii="Arial" w:cs="Arial" w:eastAsia="Arial" w:hAnsi="Arial"/>
          <w:color w:val="595959"/>
          <w:sz w:val="20"/>
          <w:szCs w:val="20"/>
          <w:rtl w:val="0"/>
        </w:rPr>
        <w:t xml:space="preserve">Desouza, K. C., &amp; Bhagwatwar, A. (2014). Technology-enabled participatory platforms for civic engagement. Journal of e-Democracy, 6(1), 26–47.</w:t>
      </w:r>
      <w:r w:rsidDel="00000000" w:rsidR="00000000" w:rsidRPr="00000000">
        <w:rPr>
          <w:rtl w:val="0"/>
        </w:rPr>
      </w:r>
    </w:p>
    <w:p w:rsidR="00000000" w:rsidDel="00000000" w:rsidP="00000000" w:rsidRDefault="00000000" w:rsidRPr="00000000" w14:paraId="000000AA">
      <w:pPr>
        <w:spacing w:after="40" w:before="100" w:line="320" w:lineRule="auto"/>
        <w:ind w:left="720" w:hanging="720"/>
        <w:rPr/>
      </w:pPr>
      <w:r w:rsidDel="00000000" w:rsidR="00000000" w:rsidRPr="00000000">
        <w:rPr>
          <w:rFonts w:ascii="Arial" w:cs="Arial" w:eastAsia="Arial" w:hAnsi="Arial"/>
          <w:color w:val="595959"/>
          <w:sz w:val="20"/>
          <w:szCs w:val="20"/>
          <w:rtl w:val="0"/>
        </w:rPr>
        <w:t xml:space="preserve">Executive Office of the President. (2016). Artificial intelligence, automation, and the economy. White House Office of Science and Technology Policy.</w:t>
      </w:r>
      <w:r w:rsidDel="00000000" w:rsidR="00000000" w:rsidRPr="00000000">
        <w:rPr>
          <w:rtl w:val="0"/>
        </w:rPr>
      </w:r>
    </w:p>
    <w:p w:rsidR="00000000" w:rsidDel="00000000" w:rsidP="00000000" w:rsidRDefault="00000000" w:rsidRPr="00000000" w14:paraId="000000AB">
      <w:pPr>
        <w:spacing w:after="40" w:before="100" w:line="320" w:lineRule="auto"/>
        <w:ind w:left="720" w:hanging="720"/>
        <w:rPr/>
      </w:pPr>
      <w:r w:rsidDel="00000000" w:rsidR="00000000" w:rsidRPr="00000000">
        <w:rPr>
          <w:rFonts w:ascii="Arial" w:cs="Arial" w:eastAsia="Arial" w:hAnsi="Arial"/>
          <w:color w:val="595959"/>
          <w:sz w:val="20"/>
          <w:szCs w:val="20"/>
          <w:rtl w:val="0"/>
        </w:rPr>
        <w:t xml:space="preserve">Government Accountability Office (GAO). (2020). Artificial intelligence: Emerging opportunities, challenges, and implications for policy and research. GAO-20-195SP.</w:t>
      </w:r>
      <w:r w:rsidDel="00000000" w:rsidR="00000000" w:rsidRPr="00000000">
        <w:rPr>
          <w:rtl w:val="0"/>
        </w:rPr>
      </w:r>
    </w:p>
    <w:p w:rsidR="00000000" w:rsidDel="00000000" w:rsidP="00000000" w:rsidRDefault="00000000" w:rsidRPr="00000000" w14:paraId="000000AC">
      <w:pPr>
        <w:spacing w:after="40" w:before="100" w:line="320" w:lineRule="auto"/>
        <w:ind w:left="720" w:hanging="720"/>
        <w:rPr/>
      </w:pPr>
      <w:r w:rsidDel="00000000" w:rsidR="00000000" w:rsidRPr="00000000">
        <w:rPr>
          <w:rFonts w:ascii="Arial" w:cs="Arial" w:eastAsia="Arial" w:hAnsi="Arial"/>
          <w:color w:val="595959"/>
          <w:sz w:val="20"/>
          <w:szCs w:val="20"/>
          <w:rtl w:val="0"/>
        </w:rPr>
        <w:t xml:space="preserve">Internal Revenue Service (IRS). (2022). IRS annual report: Protecting taxpayer rights and preventing fraud. U.S. Department of the Treasury.</w:t>
      </w:r>
      <w:r w:rsidDel="00000000" w:rsidR="00000000" w:rsidRPr="00000000">
        <w:rPr>
          <w:rtl w:val="0"/>
        </w:rPr>
      </w:r>
    </w:p>
    <w:p w:rsidR="00000000" w:rsidDel="00000000" w:rsidP="00000000" w:rsidRDefault="00000000" w:rsidRPr="00000000" w14:paraId="000000AD">
      <w:pPr>
        <w:spacing w:after="40" w:before="100" w:line="320" w:lineRule="auto"/>
        <w:ind w:left="720" w:hanging="720"/>
        <w:rPr/>
      </w:pPr>
      <w:r w:rsidDel="00000000" w:rsidR="00000000" w:rsidRPr="00000000">
        <w:rPr>
          <w:rFonts w:ascii="Arial" w:cs="Arial" w:eastAsia="Arial" w:hAnsi="Arial"/>
          <w:color w:val="595959"/>
          <w:sz w:val="20"/>
          <w:szCs w:val="20"/>
          <w:rtl w:val="0"/>
        </w:rPr>
        <w:t xml:space="preserve">OECD. (2019). Recommendations of the Council on Artificial Intelligence. OECD Legal Instruments, OECD/LEGAL/0449.</w:t>
      </w:r>
      <w:r w:rsidDel="00000000" w:rsidR="00000000" w:rsidRPr="00000000">
        <w:rPr>
          <w:rtl w:val="0"/>
        </w:rPr>
      </w:r>
    </w:p>
    <w:p w:rsidR="00000000" w:rsidDel="00000000" w:rsidP="00000000" w:rsidRDefault="00000000" w:rsidRPr="00000000" w14:paraId="000000AE">
      <w:pPr>
        <w:spacing w:after="40" w:before="100" w:line="320" w:lineRule="auto"/>
        <w:ind w:left="720" w:hanging="720"/>
        <w:rPr/>
      </w:pPr>
      <w:r w:rsidDel="00000000" w:rsidR="00000000" w:rsidRPr="00000000">
        <w:rPr>
          <w:rFonts w:ascii="Arial" w:cs="Arial" w:eastAsia="Arial" w:hAnsi="Arial"/>
          <w:color w:val="595959"/>
          <w:sz w:val="20"/>
          <w:szCs w:val="20"/>
          <w:rtl w:val="0"/>
        </w:rPr>
        <w:t xml:space="preserve">Reddick, C. G. (2012). Public administration and information technology. Jones &amp; Bartlett Learning.</w:t>
      </w:r>
      <w:r w:rsidDel="00000000" w:rsidR="00000000" w:rsidRPr="00000000">
        <w:rPr>
          <w:rtl w:val="0"/>
        </w:rPr>
      </w:r>
    </w:p>
    <w:p w:rsidR="00000000" w:rsidDel="00000000" w:rsidP="00000000" w:rsidRDefault="00000000" w:rsidRPr="00000000" w14:paraId="000000AF">
      <w:pPr>
        <w:spacing w:after="40" w:before="100" w:line="320" w:lineRule="auto"/>
        <w:ind w:left="720" w:hanging="720"/>
        <w:rPr/>
      </w:pPr>
      <w:r w:rsidDel="00000000" w:rsidR="00000000" w:rsidRPr="00000000">
        <w:rPr>
          <w:rFonts w:ascii="Arial" w:cs="Arial" w:eastAsia="Arial" w:hAnsi="Arial"/>
          <w:color w:val="595959"/>
          <w:sz w:val="20"/>
          <w:szCs w:val="20"/>
          <w:rtl w:val="0"/>
        </w:rPr>
        <w:t xml:space="preserve">Taddeo, M., &amp; Floridi, L. (2018). How AI can be a force for good. Science, 361(6404), 751–752. https://doi.org/10.1126/science.aat5991</w:t>
      </w:r>
      <w:r w:rsidDel="00000000" w:rsidR="00000000" w:rsidRPr="00000000">
        <w:rPr>
          <w:rtl w:val="0"/>
        </w:rPr>
      </w:r>
    </w:p>
    <w:p w:rsidR="00000000" w:rsidDel="00000000" w:rsidP="00000000" w:rsidRDefault="00000000" w:rsidRPr="00000000" w14:paraId="000000B0">
      <w:pPr>
        <w:spacing w:after="40" w:before="100" w:line="320" w:lineRule="auto"/>
        <w:ind w:left="720" w:hanging="720"/>
        <w:rPr/>
      </w:pPr>
      <w:r w:rsidDel="00000000" w:rsidR="00000000" w:rsidRPr="00000000">
        <w:rPr>
          <w:rFonts w:ascii="Arial" w:cs="Arial" w:eastAsia="Arial" w:hAnsi="Arial"/>
          <w:color w:val="595959"/>
          <w:sz w:val="20"/>
          <w:szCs w:val="20"/>
          <w:rtl w:val="0"/>
        </w:rPr>
        <w:t xml:space="preserve">United Nations E-Government Survey. (2022). E-government in support of sustainable development. United Nations Department of Economic and Social Affairs.</w:t>
      </w:r>
      <w:r w:rsidDel="00000000" w:rsidR="00000000" w:rsidRPr="00000000">
        <w:rPr>
          <w:rtl w:val="0"/>
        </w:rPr>
      </w:r>
    </w:p>
    <w:p w:rsidR="00000000" w:rsidDel="00000000" w:rsidP="00000000" w:rsidRDefault="00000000" w:rsidRPr="00000000" w14:paraId="000000B1">
      <w:pPr>
        <w:spacing w:after="40" w:before="100" w:line="320" w:lineRule="auto"/>
        <w:ind w:left="720" w:hanging="720"/>
        <w:rPr/>
      </w:pPr>
      <w:r w:rsidDel="00000000" w:rsidR="00000000" w:rsidRPr="00000000">
        <w:rPr>
          <w:rFonts w:ascii="Arial" w:cs="Arial" w:eastAsia="Arial" w:hAnsi="Arial"/>
          <w:color w:val="595959"/>
          <w:sz w:val="20"/>
          <w:szCs w:val="20"/>
          <w:rtl w:val="0"/>
        </w:rPr>
        <w:t xml:space="preserve">West, D. M. (2011). The next wave: Using digital technology to further social and political innovation. Brookings Institution Press.</w:t>
      </w:r>
      <w:r w:rsidDel="00000000" w:rsidR="00000000" w:rsidRPr="00000000">
        <w:rPr>
          <w:rtl w:val="0"/>
        </w:rPr>
      </w:r>
    </w:p>
    <w:sectPr>
      <w:headerReference r:id="rId7" w:type="default"/>
      <w:footerReference r:id="rId8"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pBdr>
        <w:top w:color="2e75b6" w:space="1" w:sz="6" w:val="single"/>
      </w:pBdr>
      <w:tabs>
        <w:tab w:val="right" w:leader="none" w:pos="9026"/>
      </w:tabs>
      <w:spacing w:before="80" w:lineRule="auto"/>
      <w:rPr/>
    </w:pPr>
    <w:r w:rsidDel="00000000" w:rsidR="00000000" w:rsidRPr="00000000">
      <w:rPr>
        <w:rFonts w:ascii="Arial" w:cs="Arial" w:eastAsia="Arial" w:hAnsi="Arial"/>
        <w:i w:val="1"/>
        <w:iCs w:val="1"/>
        <w:color w:val="595959"/>
        <w:sz w:val="16"/>
        <w:szCs w:val="16"/>
        <w:rtl w:val="0"/>
      </w:rPr>
      <w:t xml:space="preserve">Confidential – Academic Submission</w:t>
    </w:r>
    <w:r w:rsidDel="00000000" w:rsidR="00000000" w:rsidRPr="00000000">
      <w:rPr>
        <w:rFonts w:ascii="Arial" w:cs="Arial" w:eastAsia="Arial" w:hAnsi="Arial"/>
        <w:color w:val="595959"/>
        <w:sz w:val="16"/>
        <w:szCs w:val="16"/>
        <w:rtl w:val="0"/>
      </w:rPr>
      <w:t xml:space="preserve">Page </w:t>
    </w:r>
    <w:r w:rsidDel="00000000" w:rsidR="00000000" w:rsidRPr="00000000">
      <w:rPr>
        <w:rFonts w:ascii="Arial" w:cs="Arial" w:eastAsia="Arial" w:hAnsi="Arial"/>
        <w:color w:val="2e75b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pBdr>
        <w:bottom w:color="2e75b6" w:space="1" w:sz="6" w:val="single"/>
      </w:pBdr>
      <w:tabs>
        <w:tab w:val="right" w:leader="none" w:pos="9026"/>
      </w:tabs>
      <w:spacing w:after="80" w:lineRule="auto"/>
      <w:rPr/>
    </w:pPr>
    <w:r w:rsidDel="00000000" w:rsidR="00000000" w:rsidRPr="00000000">
      <w:rPr>
        <w:rFonts w:ascii="Arial" w:cs="Arial" w:eastAsia="Arial" w:hAnsi="Arial"/>
        <w:i w:val="1"/>
        <w:iCs w:val="1"/>
        <w:color w:val="595959"/>
        <w:sz w:val="18"/>
        <w:szCs w:val="18"/>
        <w:rtl w:val="0"/>
      </w:rPr>
      <w:t xml:space="preserve">AI in Government &amp; Public Sector</w:t>
    </w:r>
    <w:r w:rsidDel="00000000" w:rsidR="00000000" w:rsidRPr="00000000">
      <w:rPr>
        <w:rFonts w:ascii="Arial" w:cs="Arial" w:eastAsia="Arial" w:hAnsi="Arial"/>
        <w:b w:val="1"/>
        <w:bCs w:val="1"/>
        <w:color w:val="2e75b6"/>
        <w:sz w:val="18"/>
        <w:szCs w:val="18"/>
        <w:rtl w:val="0"/>
      </w:rPr>
      <w:t xml:space="preserve">Case Study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pZkjmrH/qbNMv/wzOqNXslN1yA==">CgMxLjA4AHIhMWwzRzJMdEo2VXNJWFdTakhlSHRtVVE2clNUN0lGcFRH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