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Quarterly Report</w:t>
      </w:r>
    </w:p>
    <w:p>
      <w:r>
        <w:t xml:space="preserve">This is </w:t>
      </w:r>
      <w:r>
        <w:rPr>
          <w:b/>
        </w:rPr>
        <w:t xml:space="preserve">bold</w:t>
      </w:r>
      <w:r>
        <w:t xml:space="preserve"> and </w:t>
      </w:r>
      <w:r>
        <w:rPr>
          <w:i/>
        </w:rPr>
        <w:t xml:space="preserve">italic</w:t>
      </w:r>
      <w:r>
        <w:t xml:space="preserve"> text with Turkish characters: ğüşıöç ĞÜŞİÖÇ. </w:t>
      </w:r>
      <w:hyperlink r:id="rIdLink">
        <w:r>
          <w:rPr>
            <w:u w:val="single"/>
          </w:rPr>
          <w:t xml:space="preserve">Visit our site</w:t>
        </w:r>
      </w:hyperlink>
      <w:r>
        <w:t xml:space="preserve">.</w:t>
      </w:r>
    </w:p>
    <w:p>
      <w:r>
        <w:t xml:space="preserve">The third quarter closed ahead of plan. Sales grew in every region we operate in, while costs stayed flat thanks to the new logistics contracts signed in July. The sections below summarise the most important numbers for the board.</w:t>
      </w:r>
    </w:p>
    <w:p>
      <w:pPr>
        <w:pStyle w:val="Heading2"/>
      </w:pPr>
      <w:r>
        <w:t xml:space="preserve">Highlights</w:t>
      </w:r>
    </w:p>
    <w:p>
      <w:pPr>
        <w:pStyle w:val="ListParagraph"/>
        <w:numPr>
          <w:ilvl w:val="0"/>
          <w:numId w:val="1"/>
        </w:numPr>
      </w:pPr>
      <w:r>
        <w:t xml:space="preserve">Revenue up 12%</w:t>
      </w:r>
    </w:p>
    <w:p>
      <w:pPr>
        <w:pStyle w:val="ListParagraph"/>
        <w:numPr>
          <w:ilvl w:val="0"/>
          <w:numId w:val="1"/>
        </w:numPr>
      </w:pPr>
      <w:r>
        <w:t xml:space="preserve">Two new markets: İzmir and Gaziantep</w:t>
      </w:r>
    </w:p>
    <w:p>
      <w:pPr>
        <w:pStyle w:val="ListParagraph"/>
        <w:numPr>
          <w:ilvl w:val="0"/>
          <w:numId w:val="2"/>
        </w:numPr>
      </w:pPr>
      <w:r>
        <w:t xml:space="preserve">Close the Q4 hiring plan</w:t>
      </w:r>
    </w:p>
    <w:p>
      <w:pPr>
        <w:pStyle w:val="ListParagraph"/>
        <w:numPr>
          <w:ilvl w:val="0"/>
          <w:numId w:val="2"/>
        </w:numPr>
      </w:pPr>
      <w:r>
        <w:t xml:space="preserve">Ship the mobile app</w:t>
      </w:r>
    </w:p>
    <w:p>
      <w:pPr>
        <w:pStyle w:val="Heading2"/>
      </w:pPr>
      <w:r>
        <w:t xml:space="preserve">Sales by region</w:t>
      </w:r>
    </w:p>
    <w:tbl>
      <w:tblPr>
        <w:tblStyle w:val="TableGrid"/>
        <w:tblW w:w="9000" w:type="dxa"/>
      </w:tblPr>
      <w:tblGrid>
        <w:gridCol w:w="3000"/>
        <w:gridCol w:w="3000"/>
        <w:gridCol w:w="3000"/>
      </w:tblGrid>
      <w:tr>
        <w:trPr>
          <w:tblHeader/>
        </w:trPr>
        <w:tc>
          <w:tcPr>
            <w:tcW w:w="3000" w:type="dxa"/>
          </w:tcPr>
          <w:p>
            <w:r>
              <w:rPr>
                <w:b/>
              </w:rPr>
              <w:t xml:space="preserve">Region</w:t>
            </w:r>
          </w:p>
        </w:tc>
        <w:tc>
          <w:tcPr>
            <w:tcW w:w="3000" w:type="dxa"/>
          </w:tcPr>
          <w:p>
            <w:r>
              <w:rPr>
                <w:b/>
              </w:rPr>
              <w:t xml:space="preserve">Sales</w:t>
            </w:r>
          </w:p>
        </w:tc>
        <w:tc>
          <w:tcPr>
            <w:tcW w:w="3000" w:type="dxa"/>
          </w:tcPr>
          <w:p>
            <w:r>
              <w:rPr>
                <w:b/>
              </w:rPr>
              <w:t xml:space="preserve">Growth</w:t>
            </w:r>
          </w:p>
        </w:tc>
      </w:tr>
      <w:tr>
        <w:tc>
          <w:tcPr>
            <w:tcW w:w="3000" w:type="dxa"/>
          </w:tcPr>
          <w:p>
            <w:r>
              <w:t xml:space="preserve">EU</w:t>
            </w:r>
          </w:p>
        </w:tc>
        <w:tc>
          <w:tcPr>
            <w:tcW w:w="3000" w:type="dxa"/>
          </w:tcPr>
          <w:p>
            <w:r>
              <w:t xml:space="preserve">120</w:t>
            </w:r>
          </w:p>
        </w:tc>
        <w:tc>
          <w:tcPr>
            <w:tcW w:w="3000" w:type="dxa"/>
          </w:tcPr>
          <w:p>
            <w:r>
              <w:t xml:space="preserve">+8%</w:t>
            </w:r>
          </w:p>
        </w:tc>
      </w:tr>
      <w:tr>
        <w:tc>
          <w:tcPr>
            <w:tcW w:w="3000" w:type="dxa"/>
          </w:tcPr>
          <w:p>
            <w:r>
              <w:t xml:space="preserve">Türkiye</w:t>
            </w:r>
          </w:p>
        </w:tc>
        <w:tc>
          <w:tcPr>
            <w:tcW w:w="3000" w:type="dxa"/>
          </w:tcPr>
          <w:p>
            <w:r>
              <w:t xml:space="preserve">95</w:t>
            </w:r>
          </w:p>
        </w:tc>
        <w:tc>
          <w:tcPr>
            <w:tcW w:w="3000" w:type="dxa"/>
          </w:tcPr>
          <w:p>
            <w:r>
              <w:t xml:space="preserve">+21%</w:t>
            </w:r>
          </w:p>
        </w:tc>
      </w:tr>
    </w:tbl>
    <w:p>
      <w:r>
        <w:drawing>
          <wp:inline distT="0" distB="0" distL="0" distR="0">
            <wp:extent cx="609600" cy="609600"/>
            <wp:docPr id="1" name="Logo" descr="Company logo"/>
            <a:graphic>
              <a:graphicData uri="http://schemas.openxmlformats.org/drawingml/2006/picture">
                <pic:pic>
                  <pic:nvPicPr>
                    <pic:cNvPr id="0" name="logo.png"/>
                    <pic:cNvPicPr/>
                  </pic:nvPicPr>
                  <pic:blipFill>
                    <a:blip r:embed="rIdImg"/>
                    <a:stretch>
                      <a:fillRect/>
                    </a:stretch>
                  </pic:blipFill>
                  <pic:spPr>
                    <a:xfrm>
                      <a:off x="0" y="0"/>
                      <a:ext cx="609600" cy="609600"/>
                    </a:xfrm>
                    <a:prstGeom prst="rect">
                      <a:avLst/>
                    </a:prstGeom>
                  </pic:spPr>
                </pic:pic>
              </a:graphicData>
            </a:graphic>
          </wp:inline>
        </w:drawing>
      </w:r>
    </w:p>
    <w:p>
      <w:r>
        <w:rPr>
          <w:i/>
        </w:rPr>
        <w:t xml:space="preserve">Prepared by the finance team.</w:t>
      </w:r>
    </w:p>
    <w:sectPr>
      <w:pgSz w:w="11906" w:h="16838"/>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lvl w:ilvl="0">
      <w:start w:val="1"/>
      <w:numFmt w:val="bullet"/>
      <w:lvlText w:val="•"/>
    </w:lvl>
  </w:abstractNum>
  <w:abstractNum w:abstractNumId="1">
    <w:lvl w:ilvl="0">
      <w:start w:val="1"/>
      <w:numFmt w:val="decimal"/>
      <w:lvlText w:val="%1."/>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tyle w:type="paragraph" w:default="1" w:styleId="Normal">
    <w:name w:val="Normal"/>
  </w:style>
  <w:style w:type="paragraph" w:styleId="Heading1">
    <w:name w:val="heading 1"/>
    <w:basedOn w:val="Normal"/>
    <w:rPr>
      <w:b/>
      <w:sz w:val="40"/>
    </w:rPr>
  </w:style>
  <w:style w:type="paragraph" w:styleId="Heading2">
    <w:name w:val="heading 2"/>
    <w:basedOn w:val="Normal"/>
    <w:rPr>
      <w:b/>
      <w:sz w:val="32"/>
    </w:rPr>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Img" Type="http://schemas.openxmlformats.org/officeDocument/2006/relationships/image" Target="media/logo.png"/><Relationship Id="rIdLink" Type="http://schemas.openxmlformats.org/officeDocument/2006/relationships/hyperlink" Target="https://example.com/" TargetMode="External"/></Relationships>
</file>