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Quarterly Report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bold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italic</w:t>
      </w:r>
      <w:r>
        <w:rPr>
          <w:rFonts w:ascii="Times" w:hAnsi="Times" w:cs="Times"/>
          <w:sz w:val="24"/>
          <w:sz-cs w:val="24"/>
          <w:spacing w:val="0"/>
        </w:rPr>
        <w:t xml:space="preserve"> text with Turkish characters: ÄŸÃ¼ÅŸÄ±Ã¶Ã§ ÄžÃœÅžÄ°Ã–Ã‡.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Highlights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Revenue up 12%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Two new markets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Region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