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r>
    </w:p>
    <w:p>
      <w:pPr>
        <w:pStyle w:val="Title"/>
        <w:bidi w:val="0"/>
        <w:rPr/>
      </w:pPr>
      <w:r>
        <w:rPr/>
        <w:t>Overview of features to be added using AWS QuickSight</w:t>
      </w:r>
    </w:p>
    <w:p>
      <w:pPr>
        <w:pStyle w:val="TextBody"/>
        <w:bidi w:val="0"/>
        <w:jc w:val="left"/>
        <w:rPr/>
      </w:pPr>
      <w:r>
        <w:rPr/>
      </w:r>
    </w:p>
    <w:p>
      <w:pPr>
        <w:pStyle w:val="Subtitle"/>
        <w:bidi w:val="0"/>
        <w:rPr/>
      </w:pPr>
      <w:r>
        <w:rPr/>
        <w:t>YHP Summer 2022</w:t>
      </w:r>
    </w:p>
    <w:p>
      <w:pPr>
        <w:pStyle w:val="TextBody"/>
        <w:bidi w:val="0"/>
        <w:jc w:val="left"/>
        <w:rPr/>
      </w:pPr>
      <w:r>
        <w:rPr/>
      </w:r>
    </w:p>
    <w:p>
      <w:pPr>
        <w:pStyle w:val="Heading"/>
        <w:bidi w:val="0"/>
        <w:jc w:val="left"/>
        <w:rPr/>
      </w:pPr>
      <w:r>
        <w:rPr/>
        <w:t xml:space="preserve">Overview: </w:t>
      </w:r>
    </w:p>
    <w:p>
      <w:pPr>
        <w:pStyle w:val="TextBody"/>
        <w:bidi w:val="0"/>
        <w:spacing w:lineRule="auto" w:line="276" w:before="0" w:after="140"/>
        <w:jc w:val="left"/>
        <w:rPr/>
      </w:pPr>
      <w:r>
        <w:rPr/>
        <w:tab/>
        <w:t xml:space="preserve">This guide is intended to provide the Youth Homelessness Project with a guide on what to implement </w:t>
      </w:r>
      <w:r>
        <w:rPr/>
        <w:t xml:space="preserve">when access is given to the enterprise edition of Amazon Quicksight, the report building tools selected for use with the Youth Homelessness Project. Due to the constraints of the standard edition of the system, there are several key features that will need to be implemented just prior to release when access to the paid Enterprise edition of the software is granted. </w:t>
      </w:r>
    </w:p>
    <w:p>
      <w:pPr>
        <w:pStyle w:val="TextBody"/>
        <w:bidi w:val="0"/>
        <w:spacing w:lineRule="auto" w:line="276" w:before="0" w:after="140"/>
        <w:jc w:val="left"/>
        <w:rPr/>
      </w:pPr>
      <w:r>
        <w:rPr/>
      </w:r>
    </w:p>
    <w:p>
      <w:pPr>
        <w:pStyle w:val="TextBody"/>
        <w:bidi w:val="0"/>
        <w:jc w:val="left"/>
        <w:rPr/>
      </w:pPr>
      <w:r>
        <w:rPr/>
        <w:t>Quicksight features:</w:t>
      </w:r>
    </w:p>
    <w:tbl>
      <w:tblPr>
        <w:tblW w:w="9969" w:type="dxa"/>
        <w:jc w:val="left"/>
        <w:tblInd w:w="0" w:type="dxa"/>
        <w:tblLayout w:type="fixed"/>
        <w:tblCellMar>
          <w:top w:w="55" w:type="dxa"/>
          <w:left w:w="55" w:type="dxa"/>
          <w:bottom w:w="55" w:type="dxa"/>
          <w:right w:w="55" w:type="dxa"/>
        </w:tblCellMar>
      </w:tblPr>
      <w:tblGrid>
        <w:gridCol w:w="7292"/>
        <w:gridCol w:w="1440"/>
        <w:gridCol w:w="1237"/>
      </w:tblGrid>
      <w:tr>
        <w:trPr/>
        <w:tc>
          <w:tcPr>
            <w:tcW w:w="7292" w:type="dxa"/>
            <w:tcBorders>
              <w:top w:val="single" w:sz="2" w:space="0" w:color="000000"/>
              <w:left w:val="single" w:sz="2" w:space="0" w:color="000000"/>
              <w:bottom w:val="single" w:sz="2" w:space="0" w:color="000000"/>
            </w:tcBorders>
          </w:tcPr>
          <w:p>
            <w:pPr>
              <w:pStyle w:val="TableContents"/>
              <w:bidi w:val="0"/>
              <w:jc w:val="left"/>
              <w:rPr/>
            </w:pPr>
            <w:r>
              <w:rPr/>
              <w:t>Feature:</w:t>
            </w:r>
          </w:p>
        </w:tc>
        <w:tc>
          <w:tcPr>
            <w:tcW w:w="1440" w:type="dxa"/>
            <w:tcBorders>
              <w:top w:val="single" w:sz="2" w:space="0" w:color="000000"/>
              <w:left w:val="single" w:sz="2" w:space="0" w:color="000000"/>
              <w:bottom w:val="single" w:sz="2" w:space="0" w:color="000000"/>
            </w:tcBorders>
          </w:tcPr>
          <w:p>
            <w:pPr>
              <w:pStyle w:val="TableContents"/>
              <w:bidi w:val="0"/>
              <w:jc w:val="left"/>
              <w:rPr/>
            </w:pPr>
            <w:r>
              <w:rPr/>
              <w:t>Standard</w:t>
            </w:r>
          </w:p>
        </w:tc>
        <w:tc>
          <w:tcPr>
            <w:tcW w:w="1237"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Enterprise</w:t>
            </w:r>
          </w:p>
        </w:tc>
      </w:tr>
      <w:tr>
        <w:trPr/>
        <w:tc>
          <w:tcPr>
            <w:tcW w:w="7292" w:type="dxa"/>
            <w:tcBorders>
              <w:left w:val="single" w:sz="2" w:space="0" w:color="000000"/>
              <w:bottom w:val="single" w:sz="2" w:space="0" w:color="000000"/>
            </w:tcBorders>
          </w:tcPr>
          <w:p>
            <w:pPr>
              <w:pStyle w:val="TableContents"/>
              <w:bidi w:val="0"/>
              <w:jc w:val="left"/>
              <w:rPr/>
            </w:pPr>
            <w:r>
              <w:rPr/>
              <w:t>Base report building tools</w:t>
            </w:r>
          </w:p>
        </w:tc>
        <w:tc>
          <w:tcPr>
            <w:tcW w:w="1440" w:type="dxa"/>
            <w:tcBorders>
              <w:left w:val="single" w:sz="2" w:space="0" w:color="000000"/>
              <w:bottom w:val="single" w:sz="2" w:space="0" w:color="000000"/>
            </w:tcBorders>
          </w:tcPr>
          <w:p>
            <w:pPr>
              <w:pStyle w:val="TableContents"/>
              <w:bidi w:val="0"/>
              <w:jc w:val="center"/>
              <w:rPr/>
            </w:pPr>
            <w:r>
              <w:rPr/>
              <w:t>X</w:t>
            </w:r>
          </w:p>
        </w:tc>
        <w:tc>
          <w:tcPr>
            <w:tcW w:w="1237" w:type="dxa"/>
            <w:tcBorders>
              <w:left w:val="single" w:sz="2" w:space="0" w:color="000000"/>
              <w:bottom w:val="single" w:sz="2" w:space="0" w:color="000000"/>
              <w:right w:val="single" w:sz="2" w:space="0" w:color="000000"/>
            </w:tcBorders>
          </w:tcPr>
          <w:p>
            <w:pPr>
              <w:pStyle w:val="TableContents"/>
              <w:bidi w:val="0"/>
              <w:jc w:val="center"/>
              <w:rPr/>
            </w:pPr>
            <w:r>
              <w:rPr/>
              <w:t>X</w:t>
            </w:r>
          </w:p>
        </w:tc>
      </w:tr>
      <w:tr>
        <w:trPr/>
        <w:tc>
          <w:tcPr>
            <w:tcW w:w="7292" w:type="dxa"/>
            <w:tcBorders>
              <w:left w:val="single" w:sz="2" w:space="0" w:color="000000"/>
              <w:bottom w:val="single" w:sz="2" w:space="0" w:color="000000"/>
            </w:tcBorders>
          </w:tcPr>
          <w:p>
            <w:pPr>
              <w:pStyle w:val="TableContents"/>
              <w:bidi w:val="0"/>
              <w:jc w:val="left"/>
              <w:rPr/>
            </w:pPr>
            <w:r>
              <w:rPr/>
              <w:t>Graphics creation and data handling</w:t>
            </w:r>
          </w:p>
        </w:tc>
        <w:tc>
          <w:tcPr>
            <w:tcW w:w="1440" w:type="dxa"/>
            <w:tcBorders>
              <w:left w:val="single" w:sz="2" w:space="0" w:color="000000"/>
              <w:bottom w:val="single" w:sz="2" w:space="0" w:color="000000"/>
            </w:tcBorders>
          </w:tcPr>
          <w:p>
            <w:pPr>
              <w:pStyle w:val="TableContents"/>
              <w:bidi w:val="0"/>
              <w:jc w:val="center"/>
              <w:rPr/>
            </w:pPr>
            <w:r>
              <w:rPr/>
              <w:t>X</w:t>
            </w:r>
          </w:p>
        </w:tc>
        <w:tc>
          <w:tcPr>
            <w:tcW w:w="1237" w:type="dxa"/>
            <w:tcBorders>
              <w:left w:val="single" w:sz="2" w:space="0" w:color="000000"/>
              <w:bottom w:val="single" w:sz="2" w:space="0" w:color="000000"/>
              <w:right w:val="single" w:sz="2" w:space="0" w:color="000000"/>
            </w:tcBorders>
          </w:tcPr>
          <w:p>
            <w:pPr>
              <w:pStyle w:val="TableContents"/>
              <w:bidi w:val="0"/>
              <w:jc w:val="center"/>
              <w:rPr/>
            </w:pPr>
            <w:r>
              <w:rPr/>
              <w:t>X</w:t>
            </w:r>
          </w:p>
        </w:tc>
      </w:tr>
      <w:tr>
        <w:trPr/>
        <w:tc>
          <w:tcPr>
            <w:tcW w:w="7292" w:type="dxa"/>
            <w:tcBorders>
              <w:left w:val="single" w:sz="2" w:space="0" w:color="000000"/>
              <w:bottom w:val="single" w:sz="2" w:space="0" w:color="000000"/>
            </w:tcBorders>
          </w:tcPr>
          <w:p>
            <w:pPr>
              <w:pStyle w:val="TableContents"/>
              <w:bidi w:val="0"/>
              <w:jc w:val="left"/>
              <w:rPr/>
            </w:pPr>
            <w:r>
              <w:rPr/>
              <w:t xml:space="preserve">Emailing reports to list </w:t>
            </w:r>
          </w:p>
        </w:tc>
        <w:tc>
          <w:tcPr>
            <w:tcW w:w="1440" w:type="dxa"/>
            <w:tcBorders>
              <w:left w:val="single" w:sz="2" w:space="0" w:color="000000"/>
              <w:bottom w:val="single" w:sz="2" w:space="0" w:color="000000"/>
            </w:tcBorders>
          </w:tcPr>
          <w:p>
            <w:pPr>
              <w:pStyle w:val="TableContents"/>
              <w:bidi w:val="0"/>
              <w:jc w:val="center"/>
              <w:rPr/>
            </w:pPr>
            <w:r>
              <w:rPr/>
            </w:r>
          </w:p>
        </w:tc>
        <w:tc>
          <w:tcPr>
            <w:tcW w:w="1237" w:type="dxa"/>
            <w:tcBorders>
              <w:left w:val="single" w:sz="2" w:space="0" w:color="000000"/>
              <w:bottom w:val="single" w:sz="2" w:space="0" w:color="000000"/>
              <w:right w:val="single" w:sz="2" w:space="0" w:color="000000"/>
            </w:tcBorders>
          </w:tcPr>
          <w:p>
            <w:pPr>
              <w:pStyle w:val="TableContents"/>
              <w:bidi w:val="0"/>
              <w:jc w:val="center"/>
              <w:rPr/>
            </w:pPr>
            <w:r>
              <w:rPr/>
              <w:t>X</w:t>
            </w:r>
          </w:p>
        </w:tc>
      </w:tr>
      <w:tr>
        <w:trPr/>
        <w:tc>
          <w:tcPr>
            <w:tcW w:w="7292" w:type="dxa"/>
            <w:tcBorders>
              <w:left w:val="single" w:sz="2" w:space="0" w:color="000000"/>
              <w:bottom w:val="single" w:sz="2" w:space="0" w:color="000000"/>
            </w:tcBorders>
          </w:tcPr>
          <w:p>
            <w:pPr>
              <w:pStyle w:val="TableContents"/>
              <w:bidi w:val="0"/>
              <w:jc w:val="left"/>
              <w:rPr/>
            </w:pPr>
            <w:r>
              <w:rPr/>
              <w:t xml:space="preserve">Embedded HTML elements </w:t>
            </w:r>
          </w:p>
        </w:tc>
        <w:tc>
          <w:tcPr>
            <w:tcW w:w="1440" w:type="dxa"/>
            <w:tcBorders>
              <w:left w:val="single" w:sz="2" w:space="0" w:color="000000"/>
              <w:bottom w:val="single" w:sz="2" w:space="0" w:color="000000"/>
            </w:tcBorders>
          </w:tcPr>
          <w:p>
            <w:pPr>
              <w:pStyle w:val="TableContents"/>
              <w:bidi w:val="0"/>
              <w:jc w:val="center"/>
              <w:rPr/>
            </w:pPr>
            <w:r>
              <w:rPr/>
            </w:r>
          </w:p>
        </w:tc>
        <w:tc>
          <w:tcPr>
            <w:tcW w:w="1237" w:type="dxa"/>
            <w:tcBorders>
              <w:left w:val="single" w:sz="2" w:space="0" w:color="000000"/>
              <w:bottom w:val="single" w:sz="2" w:space="0" w:color="000000"/>
              <w:right w:val="single" w:sz="2" w:space="0" w:color="000000"/>
            </w:tcBorders>
          </w:tcPr>
          <w:p>
            <w:pPr>
              <w:pStyle w:val="TableContents"/>
              <w:bidi w:val="0"/>
              <w:jc w:val="center"/>
              <w:rPr/>
            </w:pPr>
            <w:r>
              <w:rPr/>
              <w:t>X</w:t>
            </w:r>
          </w:p>
        </w:tc>
      </w:tr>
      <w:tr>
        <w:trPr/>
        <w:tc>
          <w:tcPr>
            <w:tcW w:w="7292" w:type="dxa"/>
            <w:tcBorders>
              <w:left w:val="single" w:sz="2" w:space="0" w:color="000000"/>
              <w:bottom w:val="single" w:sz="2" w:space="0" w:color="000000"/>
            </w:tcBorders>
          </w:tcPr>
          <w:p>
            <w:pPr>
              <w:pStyle w:val="TableContents"/>
              <w:bidi w:val="0"/>
              <w:jc w:val="left"/>
              <w:rPr/>
            </w:pPr>
            <w:r>
              <w:rPr/>
              <w:t>Data encryption</w:t>
            </w:r>
          </w:p>
        </w:tc>
        <w:tc>
          <w:tcPr>
            <w:tcW w:w="1440" w:type="dxa"/>
            <w:tcBorders>
              <w:left w:val="single" w:sz="2" w:space="0" w:color="000000"/>
              <w:bottom w:val="single" w:sz="2" w:space="0" w:color="000000"/>
            </w:tcBorders>
          </w:tcPr>
          <w:p>
            <w:pPr>
              <w:pStyle w:val="TableContents"/>
              <w:bidi w:val="0"/>
              <w:jc w:val="center"/>
              <w:rPr/>
            </w:pPr>
            <w:r>
              <w:rPr/>
            </w:r>
          </w:p>
        </w:tc>
        <w:tc>
          <w:tcPr>
            <w:tcW w:w="1237" w:type="dxa"/>
            <w:tcBorders>
              <w:left w:val="single" w:sz="2" w:space="0" w:color="000000"/>
              <w:bottom w:val="single" w:sz="2" w:space="0" w:color="000000"/>
              <w:right w:val="single" w:sz="2" w:space="0" w:color="000000"/>
            </w:tcBorders>
          </w:tcPr>
          <w:p>
            <w:pPr>
              <w:pStyle w:val="TableContents"/>
              <w:bidi w:val="0"/>
              <w:jc w:val="center"/>
              <w:rPr/>
            </w:pPr>
            <w:r>
              <w:rPr/>
              <w:t>X</w:t>
            </w:r>
          </w:p>
        </w:tc>
      </w:tr>
    </w:tbl>
    <w:p>
      <w:pPr>
        <w:pStyle w:val="TextBody"/>
        <w:bidi w:val="0"/>
        <w:jc w:val="left"/>
        <w:rPr/>
      </w:pPr>
      <w:r>
        <w:rPr/>
      </w:r>
    </w:p>
    <w:p>
      <w:pPr>
        <w:pStyle w:val="TextBody"/>
        <w:bidi w:val="0"/>
        <w:jc w:val="left"/>
        <w:rPr/>
      </w:pPr>
      <w:r>
        <w:rPr/>
        <w:tab/>
        <w:t xml:space="preserve">As you can see, </w:t>
      </w:r>
      <w:r>
        <w:rPr/>
        <w:t xml:space="preserve">Security, embedded elements and emailing clients are all features locked into the paid Enterprise edition of AWS Quicksight. These will be a task for the </w:t>
      </w:r>
      <w:r>
        <w:rPr>
          <w:b/>
          <w:bCs/>
          <w:u w:val="single"/>
        </w:rPr>
        <w:t>FINAL</w:t>
      </w:r>
      <w:r>
        <w:rPr>
          <w:b w:val="false"/>
          <w:bCs w:val="false"/>
          <w:u w:val="none"/>
        </w:rPr>
        <w:t xml:space="preserve"> work group prior to release that way the monthly maintenance does not rack up and exceed the project budget. </w:t>
      </w:r>
    </w:p>
    <w:p>
      <w:pPr>
        <w:pStyle w:val="TextBody"/>
        <w:bidi w:val="0"/>
        <w:jc w:val="left"/>
        <w:rPr/>
      </w:pPr>
      <w:r>
        <w:rPr>
          <w:b w:val="false"/>
          <w:bCs w:val="false"/>
          <w:u w:val="none"/>
        </w:rPr>
        <w:tab/>
        <w:t xml:space="preserve">Below is detailed the features, what they do at a high level as well as links to the page of the Quicksight documentation. The overall documentation can be found at the following </w:t>
      </w:r>
      <w:hyperlink r:id="rId2">
        <w:r>
          <w:rPr>
            <w:rStyle w:val="InternetLink"/>
            <w:b w:val="false"/>
            <w:bCs w:val="false"/>
            <w:u w:val="none"/>
          </w:rPr>
          <w:t>link</w:t>
        </w:r>
      </w:hyperlink>
      <w:r>
        <w:rPr>
          <w:b w:val="false"/>
          <w:bCs w:val="false"/>
          <w:u w:val="none"/>
        </w:rPr>
        <w:t xml:space="preserve"> of by navigation to the AWS documents page.</w:t>
      </w:r>
    </w:p>
    <w:p>
      <w:pPr>
        <w:pStyle w:val="TextBody"/>
        <w:bidi w:val="0"/>
        <w:jc w:val="left"/>
        <w:rPr>
          <w:b w:val="false"/>
          <w:b w:val="false"/>
          <w:bCs w:val="false"/>
          <w:u w:val="none"/>
        </w:rPr>
      </w:pPr>
      <w:r>
        <w:rPr/>
      </w:r>
      <w:r>
        <w:br w:type="page"/>
      </w:r>
    </w:p>
    <w:p>
      <w:pPr>
        <w:pStyle w:val="Heading1"/>
        <w:bidi w:val="0"/>
        <w:jc w:val="left"/>
        <w:rPr/>
      </w:pPr>
      <w:r>
        <w:rPr/>
        <w:t>Emailing quarterly reports</w:t>
      </w:r>
    </w:p>
    <w:p>
      <w:pPr>
        <w:pStyle w:val="TextBody"/>
        <w:bidi w:val="0"/>
        <w:jc w:val="left"/>
        <w:rPr/>
      </w:pPr>
      <w:r>
        <w:rPr/>
        <w:tab/>
        <w:t>Emails of the quarterly reports will be sent to all admins registered for an account using their email address. These reports are designed to be sent quarterly on the final day of March, June, September, and December each calendar year. These reports will include:</w:t>
      </w:r>
    </w:p>
    <w:p>
      <w:pPr>
        <w:pStyle w:val="TextBody"/>
        <w:bidi w:val="0"/>
        <w:jc w:val="left"/>
        <w:rPr/>
      </w:pPr>
      <w:r>
        <w:rPr/>
        <w:t>- A summary of the data collected for the quarterly</w:t>
      </w:r>
    </w:p>
    <w:p>
      <w:pPr>
        <w:pStyle w:val="TextBody"/>
        <w:bidi w:val="0"/>
        <w:jc w:val="left"/>
        <w:rPr/>
      </w:pPr>
      <w:r>
        <w:rPr/>
        <w:t>- The changes in information between last quarter and the current quarterly</w:t>
      </w:r>
    </w:p>
    <w:p>
      <w:pPr>
        <w:pStyle w:val="TextBody"/>
        <w:bidi w:val="0"/>
        <w:jc w:val="left"/>
        <w:rPr/>
      </w:pPr>
      <w:r>
        <w:rPr/>
        <w:t>- Total participation trend over the previous 4 quarters</w:t>
      </w:r>
    </w:p>
    <w:p>
      <w:pPr>
        <w:pStyle w:val="TextBody"/>
        <w:bidi w:val="0"/>
        <w:jc w:val="left"/>
        <w:rPr/>
      </w:pPr>
      <w:r>
        <w:rPr/>
        <w:t xml:space="preserve">- Optional: if working with an analytics firm, </w:t>
      </w:r>
      <w:r>
        <w:rPr/>
        <w:t>projected changes can be shown for next quarter starting in year two.</w:t>
      </w:r>
    </w:p>
    <w:p>
      <w:pPr>
        <w:pStyle w:val="TextBody"/>
        <w:bidi w:val="0"/>
        <w:jc w:val="left"/>
        <w:rPr/>
      </w:pPr>
      <w:r>
        <w:rPr/>
        <w:tab/>
        <w:t>The cur</w:t>
      </w:r>
      <w:r>
        <w:rPr/>
        <w:t xml:space="preserve">rent implementation will need to have valid emails collected as user names to allow forwarding to work as architected. Another implementation could be an email opt in option in a (currently not yet implemented) settings page. </w:t>
      </w:r>
    </w:p>
    <w:p>
      <w:pPr>
        <w:pStyle w:val="TextBody"/>
        <w:bidi w:val="0"/>
        <w:jc w:val="left"/>
        <w:rPr/>
      </w:pPr>
      <w:r>
        <w:rPr/>
        <w:t xml:space="preserve">Documents: </w:t>
      </w:r>
      <w:hyperlink r:id="rId4">
        <w:r>
          <w:rPr>
            <w:rStyle w:val="InternetLink"/>
          </w:rPr>
          <w:t>https://docs.aws.amazon.com/quicksight/latest/user/sending-reports.html</w:t>
        </w:r>
      </w:hyperlink>
    </w:p>
    <w:p>
      <w:pPr>
        <w:pStyle w:val="TextBody"/>
        <w:bidi w:val="0"/>
        <w:jc w:val="left"/>
        <w:rPr/>
      </w:pPr>
      <w:r>
        <w:rPr/>
      </w:r>
    </w:p>
    <w:p>
      <w:pPr>
        <w:pStyle w:val="Heading1"/>
        <w:bidi w:val="0"/>
        <w:jc w:val="left"/>
        <w:rPr/>
      </w:pPr>
      <w:r>
        <w:rPr/>
        <w:t>Embedding charts in Thymeleaf templates</w:t>
      </w:r>
    </w:p>
    <w:p>
      <w:pPr>
        <w:pStyle w:val="TextBody"/>
        <w:bidi w:val="0"/>
        <w:jc w:val="left"/>
        <w:rPr/>
      </w:pPr>
      <w:r>
        <w:rPr/>
        <w:tab/>
      </w:r>
      <w:r>
        <w:rPr/>
        <w:t xml:space="preserve">Embedding a quick overview of the reports adds utility and allows </w:t>
      </w:r>
      <w:r>
        <w:rPr/>
        <w:t>for admins to see this months statistics at a glance every time they log in. This short term graphic is intended to show the last 30 days of statistics as well as a graph of the entries so far this month. Using analytics we can also project expected usage based on trend data from the last year and this year.</w:t>
      </w:r>
    </w:p>
    <w:p>
      <w:pPr>
        <w:pStyle w:val="TextBody"/>
        <w:bidi w:val="0"/>
        <w:jc w:val="left"/>
        <w:rPr/>
      </w:pPr>
      <w:r>
        <w:rPr/>
      </w:r>
    </w:p>
    <w:p>
      <w:pPr>
        <w:pStyle w:val="TextBody"/>
        <w:bidi w:val="0"/>
        <w:jc w:val="left"/>
        <w:rPr/>
      </w:pPr>
      <w:r>
        <w:rPr/>
        <w:t>Documents:</w:t>
      </w:r>
      <w:hyperlink r:id="rId5">
        <w:r>
          <w:rPr>
            <w:rStyle w:val="InternetLink"/>
          </w:rPr>
          <w:t xml:space="preserve"> </w:t>
        </w:r>
      </w:hyperlink>
      <w:hyperlink r:id="rId7">
        <w:r>
          <w:rPr>
            <w:rStyle w:val="InternetLink"/>
          </w:rPr>
          <w:t>https://docs.aws.amazon.com/quicksight/latest/user/embedded-analytics.html</w:t>
        </w:r>
      </w:hyperlink>
    </w:p>
    <w:p>
      <w:pPr>
        <w:pStyle w:val="TextBody"/>
        <w:bidi w:val="0"/>
        <w:jc w:val="left"/>
        <w:rPr/>
      </w:pPr>
      <w:r>
        <w:rPr/>
      </w:r>
    </w:p>
    <w:p>
      <w:pPr>
        <w:pStyle w:val="Heading1"/>
        <w:bidi w:val="0"/>
        <w:jc w:val="left"/>
        <w:rPr/>
      </w:pPr>
      <w:r>
        <w:rPr/>
        <w:t>Quicksight encryption at rest</w:t>
      </w:r>
    </w:p>
    <w:p>
      <w:pPr>
        <w:pStyle w:val="TextBody"/>
        <w:bidi w:val="0"/>
        <w:jc w:val="left"/>
        <w:rPr/>
      </w:pPr>
      <w:r>
        <w:rPr/>
        <w:tab/>
      </w:r>
      <w:r>
        <w:rPr/>
        <w:t xml:space="preserve">With security and anonymity as a high priority for the Youth Homelessness Project, Encryption of data at rest is an important feature. While every effort should be made to ensure no identifying information is collected in the database to be managed, When Enterprise is already in use, the additional included security features should be used to ensure optimal security for users and managers of the system. </w:t>
      </w:r>
    </w:p>
    <w:p>
      <w:pPr>
        <w:pStyle w:val="TextBody"/>
        <w:bidi w:val="0"/>
        <w:jc w:val="left"/>
        <w:rPr/>
      </w:pPr>
      <w:r>
        <w:rPr/>
      </w:r>
    </w:p>
    <w:p>
      <w:pPr>
        <w:pStyle w:val="TextBody"/>
        <w:bidi w:val="0"/>
        <w:spacing w:before="0" w:after="140"/>
        <w:jc w:val="left"/>
        <w:rPr/>
      </w:pPr>
      <w:r>
        <w:rPr/>
        <w:t xml:space="preserve">Documents: </w:t>
      </w:r>
      <w:hyperlink r:id="rId8">
        <w:r>
          <w:rPr>
            <w:rStyle w:val="InternetLink"/>
          </w:rPr>
          <w:t>https://docs.aws.amazon.com/quicksight/latest/user/data-encryption-at-rest.html</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quicksight/index.html" TargetMode="External"/><Relationship Id="rId3" Type="http://schemas.openxmlformats.org/officeDocument/2006/relationships/hyperlink" Target="https://docs.aws.amazon.com/quicksight/latest/user/sending-reports.html" TargetMode="External"/><Relationship Id="rId4" Type="http://schemas.openxmlformats.org/officeDocument/2006/relationships/hyperlink" Target="" TargetMode="External"/><Relationship Id="rId5" Type="http://schemas.openxmlformats.org/officeDocument/2006/relationships/hyperlink" Target="https://docs.aws.amazon.com/quicksight/latest/user/embedded-analytics.html" TargetMode="External"/><Relationship Id="rId6" Type="http://schemas.openxmlformats.org/officeDocument/2006/relationships/hyperlink" Target="https://docs.aws.amazon.com/quicksight/latest/user/embedded-analytics.html" TargetMode="External"/><Relationship Id="rId7" Type="http://schemas.openxmlformats.org/officeDocument/2006/relationships/hyperlink" Target="" TargetMode="External"/><Relationship Id="rId8" Type="http://schemas.openxmlformats.org/officeDocument/2006/relationships/hyperlink" Target="https://docs.aws.amazon.com/quicksight/latest/user/data-encryption-at-rest.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LibreOffice/7.0.2.2$Windows_X86_64 LibreOffice_project/8349ace3c3162073abd90d81fd06dcfb6b36b994</Application>
  <Pages>2</Pages>
  <Words>498</Words>
  <Characters>2693</Characters>
  <CharactersWithSpaces>3169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2022-07-24T19:13:51Z</dcterms:created>
  <dc:creator/>
  <dc:description/>
  <dc:language>en-US</dc:language>
  <cp:lastModifiedBy/>
  <dcterms:modified xsi:type="dcterms:W3CDTF">2022-07-24T20:33:25Z</dcterms:modified>
  <cp:revision>3</cp:revision>
  <dc:subject/>
  <dc:title/>
</cp:coreProperties>
</file>