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br/>
        <w:t>BINCOM ACADEMY</w:t>
        <w:br/>
      </w:r>
      <w:r>
        <w:rPr>
          <w:b/>
          <w:sz w:val="56"/>
        </w:rPr>
        <w:t>4TH CONTACT ASSIGNMENT</w:t>
      </w:r>
      <w:r>
        <w:rPr>
          <w:b/>
        </w:rPr>
        <w:br/>
        <w:br/>
        <w:t>SIEM • INCIDENT RESPONSE • RISK MANAGEMENT • AI SECURITY</w:t>
      </w:r>
      <w:r>
        <w:rPr>
          <w:sz w:val="30"/>
        </w:rPr>
        <w:br/>
        <w:br/>
        <w:t>Comprehensive Technical Assessment Report</w:t>
      </w:r>
    </w:p>
    <w:tbl>
      <w:tblPr>
        <w:tblStyle w:val="TableGrid"/>
        <w:tblW w:type="auto" w:w="0"/>
        <w:jc w:val="center"/>
        <w:tblLook w:firstColumn="1" w:firstRow="1" w:lastColumn="0" w:lastRow="0" w:noHBand="0" w:noVBand="1" w:val="04A0"/>
      </w:tblPr>
      <w:tblGrid>
        <w:gridCol w:w="5040"/>
        <w:gridCol w:w="5040"/>
      </w:tblGrid>
      <w:tr>
        <w:tc>
          <w:tcPr>
            <w:tcW w:type="dxa" w:w="5040"/>
            <w:shd w:fill="EAF0F6"/>
            <w:tcMar>
              <w:top w:w="100" w:type="dxa"/>
              <w:start w:w="100" w:type="dxa"/>
              <w:bottom w:w="100" w:type="dxa"/>
              <w:end w:w="100" w:type="dxa"/>
            </w:tcMar>
          </w:tcPr>
          <w:p>
            <w:r>
              <w:rPr>
                <w:sz w:val="20"/>
              </w:rPr>
              <w:t>Prepared by</w:t>
            </w:r>
          </w:p>
        </w:tc>
        <w:tc>
          <w:tcPr>
            <w:tcW w:type="dxa" w:w="5040"/>
            <w:tcMar>
              <w:top w:w="100" w:type="dxa"/>
              <w:start w:w="100" w:type="dxa"/>
              <w:bottom w:w="100" w:type="dxa"/>
              <w:end w:w="100" w:type="dxa"/>
            </w:tcMar>
          </w:tcPr>
          <w:p>
            <w:r>
              <w:rPr>
                <w:sz w:val="20"/>
              </w:rPr>
              <w:t>Oyewumi Yusuf Olayemi</w:t>
            </w:r>
          </w:p>
        </w:tc>
      </w:tr>
      <w:tr>
        <w:tc>
          <w:tcPr>
            <w:tcW w:type="dxa" w:w="5040"/>
            <w:shd w:fill="EAF0F6"/>
            <w:tcMar>
              <w:top w:w="100" w:type="dxa"/>
              <w:start w:w="100" w:type="dxa"/>
              <w:bottom w:w="100" w:type="dxa"/>
              <w:end w:w="100" w:type="dxa"/>
            </w:tcMar>
          </w:tcPr>
          <w:p>
            <w:r>
              <w:rPr>
                <w:sz w:val="20"/>
              </w:rPr>
              <w:t>Role</w:t>
            </w:r>
          </w:p>
        </w:tc>
        <w:tc>
          <w:tcPr>
            <w:tcW w:type="dxa" w:w="5040"/>
            <w:tcMar>
              <w:top w:w="100" w:type="dxa"/>
              <w:start w:w="100" w:type="dxa"/>
              <w:bottom w:w="100" w:type="dxa"/>
              <w:end w:w="100" w:type="dxa"/>
            </w:tcMar>
          </w:tcPr>
          <w:p>
            <w:r>
              <w:rPr>
                <w:sz w:val="20"/>
              </w:rPr>
              <w:t>Cybersecurity Analyst</w:t>
            </w:r>
          </w:p>
        </w:tc>
      </w:tr>
      <w:tr>
        <w:tc>
          <w:tcPr>
            <w:tcW w:type="dxa" w:w="5040"/>
            <w:shd w:fill="EAF0F6"/>
            <w:tcMar>
              <w:top w:w="100" w:type="dxa"/>
              <w:start w:w="100" w:type="dxa"/>
              <w:bottom w:w="100" w:type="dxa"/>
              <w:end w:w="100" w:type="dxa"/>
            </w:tcMar>
          </w:tcPr>
          <w:p>
            <w:r>
              <w:rPr>
                <w:sz w:val="20"/>
              </w:rPr>
              <w:t>Programme</w:t>
            </w:r>
          </w:p>
        </w:tc>
        <w:tc>
          <w:tcPr>
            <w:tcW w:type="dxa" w:w="5040"/>
            <w:tcMar>
              <w:top w:w="100" w:type="dxa"/>
              <w:start w:w="100" w:type="dxa"/>
              <w:bottom w:w="100" w:type="dxa"/>
              <w:end w:w="100" w:type="dxa"/>
            </w:tcMar>
          </w:tcPr>
          <w:p>
            <w:r>
              <w:rPr>
                <w:sz w:val="20"/>
              </w:rPr>
              <w:t>BINCOM Academy</w:t>
            </w:r>
          </w:p>
        </w:tc>
      </w:tr>
      <w:tr>
        <w:tc>
          <w:tcPr>
            <w:tcW w:type="dxa" w:w="5040"/>
            <w:shd w:fill="EAF0F6"/>
            <w:tcMar>
              <w:top w:w="100" w:type="dxa"/>
              <w:start w:w="100" w:type="dxa"/>
              <w:bottom w:w="100" w:type="dxa"/>
              <w:end w:w="100" w:type="dxa"/>
            </w:tcMar>
          </w:tcPr>
          <w:p>
            <w:r>
              <w:rPr>
                <w:sz w:val="20"/>
              </w:rPr>
              <w:t>Assignment</w:t>
            </w:r>
          </w:p>
        </w:tc>
        <w:tc>
          <w:tcPr>
            <w:tcW w:type="dxa" w:w="5040"/>
            <w:tcMar>
              <w:top w:w="100" w:type="dxa"/>
              <w:start w:w="100" w:type="dxa"/>
              <w:bottom w:w="100" w:type="dxa"/>
              <w:end w:w="100" w:type="dxa"/>
            </w:tcMar>
          </w:tcPr>
          <w:p>
            <w:r>
              <w:rPr>
                <w:sz w:val="20"/>
              </w:rPr>
              <w:t>4th Contact Assignment</w:t>
            </w:r>
          </w:p>
        </w:tc>
      </w:tr>
      <w:tr>
        <w:tc>
          <w:tcPr>
            <w:tcW w:type="dxa" w:w="5040"/>
            <w:shd w:fill="EAF0F6"/>
            <w:tcMar>
              <w:top w:w="100" w:type="dxa"/>
              <w:start w:w="100" w:type="dxa"/>
              <w:bottom w:w="100" w:type="dxa"/>
              <w:end w:w="100" w:type="dxa"/>
            </w:tcMar>
          </w:tcPr>
          <w:p>
            <w:r>
              <w:rPr>
                <w:sz w:val="20"/>
              </w:rPr>
              <w:t>Assessment Period</w:t>
            </w:r>
          </w:p>
        </w:tc>
        <w:tc>
          <w:tcPr>
            <w:tcW w:type="dxa" w:w="5040"/>
            <w:tcMar>
              <w:top w:w="100" w:type="dxa"/>
              <w:start w:w="100" w:type="dxa"/>
              <w:bottom w:w="100" w:type="dxa"/>
              <w:end w:w="100" w:type="dxa"/>
            </w:tcMar>
          </w:tcPr>
          <w:p>
            <w:r>
              <w:rPr>
                <w:sz w:val="20"/>
              </w:rPr>
              <w:t>September 2026</w:t>
            </w:r>
          </w:p>
        </w:tc>
      </w:tr>
      <w:tr>
        <w:tc>
          <w:tcPr>
            <w:tcW w:type="dxa" w:w="5040"/>
            <w:shd w:fill="EAF0F6"/>
            <w:tcMar>
              <w:top w:w="100" w:type="dxa"/>
              <w:start w:w="100" w:type="dxa"/>
              <w:bottom w:w="100" w:type="dxa"/>
              <w:end w:w="100" w:type="dxa"/>
            </w:tcMar>
          </w:tcPr>
          <w:p>
            <w:r>
              <w:rPr>
                <w:sz w:val="20"/>
              </w:rPr>
              <w:t>Environment</w:t>
            </w:r>
          </w:p>
        </w:tc>
        <w:tc>
          <w:tcPr>
            <w:tcW w:type="dxa" w:w="5040"/>
            <w:tcMar>
              <w:top w:w="100" w:type="dxa"/>
              <w:start w:w="100" w:type="dxa"/>
              <w:bottom w:w="100" w:type="dxa"/>
              <w:end w:w="100" w:type="dxa"/>
            </w:tcMar>
          </w:tcPr>
          <w:p>
            <w:r>
              <w:rPr>
                <w:sz w:val="20"/>
              </w:rPr>
              <w:t>Authorized cybersecurity laboratory</w:t>
            </w:r>
          </w:p>
        </w:tc>
      </w:tr>
    </w:tbl>
    <w:p>
      <w:pPr>
        <w:jc w:val="center"/>
      </w:pPr>
      <w:r>
        <w:br/>
        <w:t>Prepared: 17 September 2026</w:t>
      </w:r>
    </w:p>
    <w:p>
      <w:r>
        <w:br w:type="page"/>
      </w:r>
    </w:p>
    <w:p>
      <w:pPr>
        <w:pStyle w:val="Heading1"/>
      </w:pPr>
      <w:r>
        <w:t>Executive Summary</w:t>
      </w:r>
    </w:p>
    <w:p>
      <w:r>
        <w:rPr>
          <w:b/>
        </w:rPr>
        <w:t xml:space="preserve">Purpose. </w:t>
      </w:r>
      <w:r>
        <w:t xml:space="preserve">This report documents the practical cybersecurity work completed for the BINCOM 4th Contact Assignment, covering the assignment guideline topics of SIEM, incident response, risk management, securing AI agents, AI risk assessment, prompt injection, and integration of AI risks into incident response and monitoring. </w:t>
      </w:r>
      <w:r>
        <w:rPr>
          <w:i/>
        </w:rPr>
        <w:t>The supplied assignment guideline explicitly identifies these areas as required topics.</w:t>
      </w:r>
    </w:p>
    <w:p>
      <w:pPr>
        <w:pStyle w:val="Heading2"/>
      </w:pPr>
      <w:r>
        <w:t>Assessment outcomes</w:t>
      </w:r>
    </w:p>
    <w:p>
      <w:pPr>
        <w:pStyle w:val="ListBullet"/>
      </w:pPr>
      <w:r>
        <w:t>Implemented and validated a lightweight Elastic-based SIEM using Elasticsearch, Kibana and Filebeat, including centralized log collection, search and controlled event correlation.</w:t>
      </w:r>
    </w:p>
    <w:p>
      <w:pPr>
        <w:pStyle w:val="ListBullet"/>
      </w:pPr>
      <w:r>
        <w:t>Investigated an exposed NFS service on Metasploitable2 (192.168.56.103) from the authorized Kali workstation (192.168.56.101).</w:t>
      </w:r>
    </w:p>
    <w:p>
      <w:pPr>
        <w:pStyle w:val="ListBullet"/>
      </w:pPr>
      <w:r>
        <w:t>Validated the original NFS exposure using controlled read-only access and remediated the export to / 192.168.56.101(ro,sync,root_squash,no_subtree_check).</w:t>
      </w:r>
    </w:p>
    <w:p>
      <w:pPr>
        <w:pStyle w:val="ListBullet"/>
      </w:pPr>
      <w:r>
        <w:t>Mapped the incident to the current NIST incident-response model and MITRE ATT&amp;CK discovery techniques T1046 and T1135.</w:t>
      </w:r>
    </w:p>
    <w:p>
      <w:pPr>
        <w:pStyle w:val="ListBullet"/>
      </w:pPr>
      <w:r>
        <w:t>Built a risk register, treatment plan and ISO 31000 practical mapping for the NFS risk.</w:t>
      </w:r>
    </w:p>
    <w:p>
      <w:pPr>
        <w:pStyle w:val="ListBullet"/>
      </w:pPr>
      <w:r>
        <w:t>Developed a controlled AI-security case study covering agent architecture, eight AI risks, prompt injection, mitigations, and AI incident-response/SIEM integration.</w:t>
      </w:r>
    </w:p>
    <w:p>
      <w:pPr>
        <w:pStyle w:val="Heading2"/>
      </w:pPr>
      <w:r>
        <w:t>Important scope distinction</w:t>
      </w:r>
    </w:p>
    <w:p>
      <w:r>
        <w:t>The NFS security finding and remediation were performed in an authorized laboratory. The SIEM correlation event BINCOM-CORR-112225 was a controlled demonstration of event correlation and is not presented as evidence that the SIEM directly detected the NFS finding. The AI sections are controlled educational risk scenarios and do not claim a real AI compromise.</w:t>
      </w:r>
    </w:p>
    <w:p>
      <w:r>
        <w:br w:type="page"/>
      </w:r>
    </w:p>
    <w:p>
      <w:pPr>
        <w:pStyle w:val="Heading1"/>
      </w:pPr>
      <w:r>
        <w:t>Contents</w:t>
      </w:r>
    </w:p>
    <w:p>
      <w:r>
        <w:t>1. Assignment Basis and Objectives</w:t>
      </w:r>
    </w:p>
    <w:p>
      <w:r>
        <w:t>2. Laboratory Environment and Methodology</w:t>
      </w:r>
    </w:p>
    <w:p>
      <w:r>
        <w:t>3. SIEM Implementation and Validation</w:t>
      </w:r>
    </w:p>
    <w:p>
      <w:r>
        <w:t>4. NFS Security Investigation and Remediation</w:t>
      </w:r>
    </w:p>
    <w:p>
      <w:r>
        <w:t>5. Incident Response: NIST and MITRE ATT&amp;CK</w:t>
      </w:r>
    </w:p>
    <w:p>
      <w:r>
        <w:t>6. Risk Management: NIST RMF and ISO 31000</w:t>
      </w:r>
    </w:p>
    <w:p>
      <w:r>
        <w:t>7. Securing AI Agents and AI Risk Assessment</w:t>
      </w:r>
    </w:p>
    <w:p>
      <w:r>
        <w:t>8. Prompt Injection: Analysis and Mitigation</w:t>
      </w:r>
    </w:p>
    <w:p>
      <w:r>
        <w:t>9. AI Risk Integration with Incident Response and SIEM</w:t>
      </w:r>
    </w:p>
    <w:p>
      <w:r>
        <w:t>10. Findings, Security Improvements and Limitations</w:t>
      </w:r>
    </w:p>
    <w:p>
      <w:r>
        <w:t>11. Conclusion</w:t>
      </w:r>
    </w:p>
    <w:p>
      <w:r>
        <w:t>12. Evidence Allocation</w:t>
      </w:r>
    </w:p>
    <w:p>
      <w:r>
        <w:t>13. References</w:t>
      </w:r>
    </w:p>
    <w:p>
      <w:r>
        <w:br w:type="page"/>
      </w:r>
    </w:p>
    <w:p>
      <w:pPr>
        <w:pStyle w:val="Heading1"/>
      </w:pPr>
      <w:r>
        <w:t>1. Assignment Basis and Objectives</w:t>
      </w:r>
    </w:p>
    <w:p>
      <w:r>
        <w:t>The provided BINCOM assignment-report guideline establishes the following principal areas: SIEM event correlation/log collection/analysis; NIST and MITRE ATT&amp;CK incident response; NIST RMF and ISO 31000 basics; risk identification, analysis, evaluation and treatment; risk registers, owners and treatment plans; securing AI agents; AI risk assessment; prompt injection; and integrating AI risk considerations into incident response and monitoring.</w:t>
      </w:r>
    </w:p>
    <w:p>
      <w:r>
        <w:t>The practical work in this report was organized around those requirements while preserving the actual laboratory evidence and avoiding claims of activities that were not performed.</w:t>
      </w:r>
    </w:p>
    <w:p>
      <w:pPr>
        <w:pStyle w:val="Heading2"/>
      </w:pPr>
      <w:r>
        <w:t>Objectives</w:t>
      </w:r>
    </w:p>
    <w:p>
      <w:pPr>
        <w:pStyle w:val="ListBullet"/>
      </w:pPr>
      <w:r>
        <w:t>Demonstrate centralized security logging and event correlation.</w:t>
      </w:r>
    </w:p>
    <w:p>
      <w:pPr>
        <w:pStyle w:val="ListBullet"/>
      </w:pPr>
      <w:r>
        <w:t>Investigate and remediate a representative network-service exposure.</w:t>
      </w:r>
    </w:p>
    <w:p>
      <w:pPr>
        <w:pStyle w:val="ListBullet"/>
      </w:pPr>
      <w:r>
        <w:t>Apply recognized incident-response frameworks to the documented case.</w:t>
      </w:r>
    </w:p>
    <w:p>
      <w:pPr>
        <w:pStyle w:val="ListBullet"/>
      </w:pPr>
      <w:r>
        <w:t>Document risk ownership, treatment and residual risk.</w:t>
      </w:r>
    </w:p>
    <w:p>
      <w:pPr>
        <w:pStyle w:val="ListBullet"/>
      </w:pPr>
      <w:r>
        <w:t>Assess AI-agent security risks and controls in a controlled case study.</w:t>
      </w:r>
    </w:p>
    <w:p>
      <w:pPr>
        <w:pStyle w:val="ListBullet"/>
      </w:pPr>
      <w:r>
        <w:t>Show how AI-specific risks can be monitored and incorporated into incident response.</w:t>
      </w:r>
    </w:p>
    <w:p>
      <w:pPr>
        <w:pStyle w:val="Heading1"/>
      </w:pPr>
      <w:r>
        <w:t>2. Laboratory Environment and Methodology</w:t>
      </w:r>
    </w:p>
    <w:p>
      <w:r>
        <w:t>The primary practical environment used Kali Linux as the security workstation and Metasploitable2 as the intentionally vulnerable target. The relevant Host-Only network was 192.168.56.0/24.</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tcPr>
          <w:p>
            <w:r>
              <w:rPr>
                <w:b/>
                <w:color w:val="FFFFFF"/>
              </w:rPr>
              <w:t>System</w:t>
            </w:r>
          </w:p>
        </w:tc>
        <w:tc>
          <w:tcPr>
            <w:tcW w:type="dxa" w:w="2520"/>
            <w:shd w:fill="1F4E78"/>
          </w:tcPr>
          <w:p>
            <w:r>
              <w:rPr>
                <w:b/>
                <w:color w:val="FFFFFF"/>
              </w:rPr>
              <w:t>Role</w:t>
            </w:r>
          </w:p>
        </w:tc>
        <w:tc>
          <w:tcPr>
            <w:tcW w:type="dxa" w:w="2520"/>
            <w:shd w:fill="1F4E78"/>
          </w:tcPr>
          <w:p>
            <w:r>
              <w:rPr>
                <w:b/>
                <w:color w:val="FFFFFF"/>
              </w:rPr>
              <w:t>Address</w:t>
            </w:r>
          </w:p>
        </w:tc>
        <w:tc>
          <w:tcPr>
            <w:tcW w:type="dxa" w:w="2520"/>
            <w:shd w:fill="1F4E78"/>
          </w:tcPr>
          <w:p>
            <w:r>
              <w:rPr>
                <w:b/>
                <w:color w:val="FFFFFF"/>
              </w:rPr>
              <w:t>Relevant Components</w:t>
            </w:r>
          </w:p>
        </w:tc>
      </w:tr>
      <w:tr>
        <w:tc>
          <w:tcPr>
            <w:tcW w:type="dxa" w:w="2520"/>
          </w:tcPr>
          <w:p>
            <w:r>
              <w:t>Kali Linux</w:t>
            </w:r>
          </w:p>
        </w:tc>
        <w:tc>
          <w:tcPr>
            <w:tcW w:type="dxa" w:w="2520"/>
          </w:tcPr>
          <w:p>
            <w:r>
              <w:t>Security workstation</w:t>
            </w:r>
          </w:p>
        </w:tc>
        <w:tc>
          <w:tcPr>
            <w:tcW w:type="dxa" w:w="2520"/>
          </w:tcPr>
          <w:p>
            <w:r>
              <w:t>192.168.56.101</w:t>
            </w:r>
          </w:p>
        </w:tc>
        <w:tc>
          <w:tcPr>
            <w:tcW w:type="dxa" w:w="2520"/>
          </w:tcPr>
          <w:p>
            <w:r>
              <w:t>Nmap, RPC/NFS tools, Elastic components</w:t>
            </w:r>
          </w:p>
        </w:tc>
      </w:tr>
      <w:tr>
        <w:tc>
          <w:tcPr>
            <w:tcW w:type="dxa" w:w="2520"/>
          </w:tcPr>
          <w:p>
            <w:r>
              <w:t>Metasploitable2</w:t>
            </w:r>
          </w:p>
        </w:tc>
        <w:tc>
          <w:tcPr>
            <w:tcW w:type="dxa" w:w="2520"/>
          </w:tcPr>
          <w:p>
            <w:r>
              <w:t>Authorized vulnerable target</w:t>
            </w:r>
          </w:p>
        </w:tc>
        <w:tc>
          <w:tcPr>
            <w:tcW w:type="dxa" w:w="2520"/>
          </w:tcPr>
          <w:p>
            <w:r>
              <w:t>192.168.56.103</w:t>
            </w:r>
          </w:p>
        </w:tc>
        <w:tc>
          <w:tcPr>
            <w:tcW w:type="dxa" w:w="2520"/>
          </w:tcPr>
          <w:p>
            <w:r>
              <w:t>NFS and other intentionally exposed services</w:t>
            </w:r>
          </w:p>
        </w:tc>
      </w:tr>
      <w:tr>
        <w:tc>
          <w:tcPr>
            <w:tcW w:type="dxa" w:w="2520"/>
          </w:tcPr>
          <w:p>
            <w:r>
              <w:t>Elastic Stack</w:t>
            </w:r>
          </w:p>
        </w:tc>
        <w:tc>
          <w:tcPr>
            <w:tcW w:type="dxa" w:w="2520"/>
          </w:tcPr>
          <w:p>
            <w:r>
              <w:t>SIEM</w:t>
            </w:r>
          </w:p>
        </w:tc>
        <w:tc>
          <w:tcPr>
            <w:tcW w:type="dxa" w:w="2520"/>
          </w:tcPr>
          <w:p>
            <w:r>
              <w:t>127.0.0.1</w:t>
            </w:r>
          </w:p>
        </w:tc>
        <w:tc>
          <w:tcPr>
            <w:tcW w:type="dxa" w:w="2520"/>
          </w:tcPr>
          <w:p>
            <w:r>
              <w:t>Elasticsearch 9.5.4, Kibana 9.5.4, Filebeat 9.5.4</w:t>
            </w:r>
          </w:p>
        </w:tc>
      </w:tr>
    </w:tbl>
    <w:p>
      <w:r>
        <w:t>Methodology: identify → validate → remediate → verify → document. Security testing was restricted to the authorized laboratory. NFS filesystem validation was read-only; no write operation was performed.</w:t>
      </w:r>
    </w:p>
    <w:p>
      <w:pPr>
        <w:pStyle w:val="Heading1"/>
      </w:pPr>
      <w:r>
        <w:t>3. SIEM Implementation and Validation</w:t>
      </w:r>
    </w:p>
    <w:p>
      <w:r>
        <w:t>A lightweight Elastic-based SIEM was selected because the Kali VM had constrained resources and a full Security Onion deployment would have imposed unnecessary resource overhead. Elasticsearch, Kibana and Filebeat were installed and configured locally.</w:t>
      </w:r>
    </w:p>
    <w:p>
      <w:pPr>
        <w:pStyle w:val="Heading2"/>
      </w:pPr>
      <w:r>
        <w:t>3.1 Architecture</w:t>
      </w:r>
    </w:p>
    <w:p>
      <w:r>
        <w:t>Filebeat collects host system/authentication and syslog events; Elasticsearch indexes the data; Kibana provides Discover-based search and investigation. The system was bound to localhost for the Elasticsearch/Kibana laboratory workflow, and the Elasticsearch cluster was validated as green with one node.</w:t>
      </w:r>
    </w:p>
    <w:p>
      <w:pPr>
        <w:pStyle w:val="Heading2"/>
      </w:pPr>
      <w:r>
        <w:t>3.2 Operational validation</w:t>
      </w:r>
    </w:p>
    <w:p>
      <w:r>
        <w:t>The final operational checkpoint showed Elasticsearch, Kibana and Filebeat active and enabled, with the Kibana API reporting an available overall status. The existing data view was named BINCOM Filebeat Logs.</w:t>
      </w:r>
    </w:p>
    <w:p>
      <w:pPr>
        <w:pStyle w:val="Heading2"/>
      </w:pPr>
      <w:r>
        <w:t>3.3 Controlled correlation</w:t>
      </w:r>
    </w:p>
    <w:p>
      <w:r>
        <w:t>The controlled identifier BINCOM-CORR-112225 was searched in Kibana across an expanded time range. The search returned 11 documents, including a BINCOM-CORRELATION event and a related sudo/process event. This demonstrates centralized event correlation and investigation capability.</w:t>
      </w:r>
    </w:p>
    <w:p>
      <w:pPr>
        <w:pStyle w:val="Heading2"/>
      </w:pPr>
      <w:r>
        <w:t>3.4 SIEM evidence</w:t>
      </w:r>
    </w:p>
    <w:p>
      <w:pPr>
        <w:jc w:val="center"/>
      </w:pPr>
      <w:r>
        <w:drawing>
          <wp:inline xmlns:a="http://schemas.openxmlformats.org/drawingml/2006/main" xmlns:pic="http://schemas.openxmlformats.org/drawingml/2006/picture">
            <wp:extent cx="5852160" cy="4324153"/>
            <wp:docPr id="1" name="Picture 1"/>
            <wp:cNvGraphicFramePr>
              <a:graphicFrameLocks noChangeAspect="1"/>
            </wp:cNvGraphicFramePr>
            <a:graphic>
              <a:graphicData uri="http://schemas.openxmlformats.org/drawingml/2006/picture">
                <pic:pic>
                  <pic:nvPicPr>
                    <pic:cNvPr id="0" name="SIEM Components Operation Validation.png"/>
                    <pic:cNvPicPr/>
                  </pic:nvPicPr>
                  <pic:blipFill>
                    <a:blip r:embed="rId11"/>
                    <a:stretch>
                      <a:fillRect/>
                    </a:stretch>
                  </pic:blipFill>
                  <pic:spPr>
                    <a:xfrm>
                      <a:off x="0" y="0"/>
                      <a:ext cx="5852160" cy="4324153"/>
                    </a:xfrm>
                    <a:prstGeom prst="rect"/>
                  </pic:spPr>
                </pic:pic>
              </a:graphicData>
            </a:graphic>
          </wp:inline>
        </w:drawing>
      </w:r>
    </w:p>
    <w:p>
      <w:pPr>
        <w:jc w:val="center"/>
      </w:pPr>
      <w:r>
        <w:rPr>
          <w:i/>
          <w:sz w:val="16"/>
        </w:rPr>
        <w:t>Figure 1. SIEM components operational validation: Elasticsearch, Kibana and Filebeat active/enabled.</w:t>
      </w:r>
    </w:p>
    <w:p/>
    <w:p>
      <w:pPr>
        <w:jc w:val="center"/>
      </w:pPr>
      <w:r>
        <w:drawing>
          <wp:inline xmlns:a="http://schemas.openxmlformats.org/drawingml/2006/main" xmlns:pic="http://schemas.openxmlformats.org/drawingml/2006/picture">
            <wp:extent cx="5852160" cy="3953459"/>
            <wp:docPr id="2" name="Picture 2"/>
            <wp:cNvGraphicFramePr>
              <a:graphicFrameLocks noChangeAspect="1"/>
            </wp:cNvGraphicFramePr>
            <a:graphic>
              <a:graphicData uri="http://schemas.openxmlformats.org/drawingml/2006/picture">
                <pic:pic>
                  <pic:nvPicPr>
                    <pic:cNvPr id="0" name="End-to-End Controlled SIEM Event Ingestion and Discovery.png"/>
                    <pic:cNvPicPr/>
                  </pic:nvPicPr>
                  <pic:blipFill>
                    <a:blip r:embed="rId12"/>
                    <a:stretch>
                      <a:fillRect/>
                    </a:stretch>
                  </pic:blipFill>
                  <pic:spPr>
                    <a:xfrm>
                      <a:off x="0" y="0"/>
                      <a:ext cx="5852160" cy="3953459"/>
                    </a:xfrm>
                    <a:prstGeom prst="rect"/>
                  </pic:spPr>
                </pic:pic>
              </a:graphicData>
            </a:graphic>
          </wp:inline>
        </w:drawing>
      </w:r>
    </w:p>
    <w:p>
      <w:pPr>
        <w:jc w:val="center"/>
      </w:pPr>
      <w:r>
        <w:rPr>
          <w:i/>
          <w:sz w:val="16"/>
        </w:rPr>
        <w:t>Figure 2. End-to-end controlled SIEM event ingestion and discovery.</w:t>
      </w:r>
    </w:p>
    <w:p/>
    <w:p>
      <w:pPr>
        <w:jc w:val="center"/>
      </w:pPr>
      <w:r>
        <w:drawing>
          <wp:inline xmlns:a="http://schemas.openxmlformats.org/drawingml/2006/main" xmlns:pic="http://schemas.openxmlformats.org/drawingml/2006/picture">
            <wp:extent cx="5852160" cy="3922248"/>
            <wp:docPr id="3" name="Picture 3"/>
            <wp:cNvGraphicFramePr>
              <a:graphicFrameLocks noChangeAspect="1"/>
            </wp:cNvGraphicFramePr>
            <a:graphic>
              <a:graphicData uri="http://schemas.openxmlformats.org/drawingml/2006/picture">
                <pic:pic>
                  <pic:nvPicPr>
                    <pic:cNvPr id="0" name="SIEM Incident Detection Evidence.png"/>
                    <pic:cNvPicPr/>
                  </pic:nvPicPr>
                  <pic:blipFill>
                    <a:blip r:embed="rId13"/>
                    <a:stretch>
                      <a:fillRect/>
                    </a:stretch>
                  </pic:blipFill>
                  <pic:spPr>
                    <a:xfrm>
                      <a:off x="0" y="0"/>
                      <a:ext cx="5852160" cy="3922248"/>
                    </a:xfrm>
                    <a:prstGeom prst="rect"/>
                  </pic:spPr>
                </pic:pic>
              </a:graphicData>
            </a:graphic>
          </wp:inline>
        </w:drawing>
      </w:r>
    </w:p>
    <w:p>
      <w:pPr>
        <w:jc w:val="center"/>
      </w:pPr>
      <w:r>
        <w:rPr>
          <w:i/>
          <w:sz w:val="16"/>
        </w:rPr>
        <w:t>Figure 3. Kibana Discover correlation search for BINCOM-CORR-112225 showing 11 returned documents.</w:t>
      </w:r>
    </w:p>
    <w:p/>
    <w:p>
      <w:r>
        <w:t>Evidence interpretation: the correlation event is demonstration evidence for SIEM detection/monitoring capability. It should not be interpreted as proof that the NFS incident itself was detected by this SIEM.</w:t>
      </w:r>
    </w:p>
    <w:p>
      <w:r>
        <w:br w:type="page"/>
      </w:r>
    </w:p>
    <w:p>
      <w:pPr>
        <w:pStyle w:val="Heading1"/>
      </w:pPr>
      <w:r>
        <w:t>4. NFS Security Investigation and Remediation</w:t>
      </w:r>
    </w:p>
    <w:p>
      <w:r>
        <w:t>The NFS case used for incident response and risk management was an exposed NFS export on Metasploitable2. Authorized service enumeration identified NFS, RPC enumeration confirmed the service, and showmount identified the exported filesystem.</w:t>
      </w:r>
    </w:p>
    <w:p>
      <w:pPr>
        <w:pStyle w:val="Heading2"/>
      </w:pPr>
      <w:r>
        <w:t>4.1 Initial condition</w:t>
      </w:r>
    </w:p>
    <w:p>
      <w:r>
        <w:t>The initial active export was:</w:t>
      </w:r>
    </w:p>
    <w:p>
      <w:r>
        <w:rPr>
          <w:b/>
        </w:rPr>
        <w:t>/ * (rw,sync,no_root_squash,no_subtree_check)</w:t>
      </w:r>
    </w:p>
    <w:p>
      <w:r>
        <w:t>This configuration permitted unrestricted network access to the export, allowed write access, and disabled root squashing. The security significance was validated using a controlled read-only mount from the authorized Kali host.</w:t>
      </w:r>
    </w:p>
    <w:p>
      <w:pPr>
        <w:jc w:val="center"/>
      </w:pPr>
      <w:r>
        <w:drawing>
          <wp:inline xmlns:a="http://schemas.openxmlformats.org/drawingml/2006/main" xmlns:pic="http://schemas.openxmlformats.org/drawingml/2006/picture">
            <wp:extent cx="5852160" cy="679639"/>
            <wp:docPr id="4" name="Picture 4"/>
            <wp:cNvGraphicFramePr>
              <a:graphicFrameLocks noChangeAspect="1"/>
            </wp:cNvGraphicFramePr>
            <a:graphic>
              <a:graphicData uri="http://schemas.openxmlformats.org/drawingml/2006/picture">
                <pic:pic>
                  <pic:nvPicPr>
                    <pic:cNvPr id="0" name="NFS Exploit Enumeration.png"/>
                    <pic:cNvPicPr/>
                  </pic:nvPicPr>
                  <pic:blipFill>
                    <a:blip r:embed="rId14"/>
                    <a:stretch>
                      <a:fillRect/>
                    </a:stretch>
                  </pic:blipFill>
                  <pic:spPr>
                    <a:xfrm>
                      <a:off x="0" y="0"/>
                      <a:ext cx="5852160" cy="679639"/>
                    </a:xfrm>
                    <a:prstGeom prst="rect"/>
                  </pic:spPr>
                </pic:pic>
              </a:graphicData>
            </a:graphic>
          </wp:inline>
        </w:drawing>
      </w:r>
    </w:p>
    <w:p>
      <w:pPr>
        <w:jc w:val="center"/>
      </w:pPr>
      <w:r>
        <w:rPr>
          <w:i/>
          <w:sz w:val="16"/>
        </w:rPr>
        <w:t>Figure 4. NFS export enumeration using showmount.</w:t>
      </w:r>
    </w:p>
    <w:p/>
    <w:p>
      <w:pPr>
        <w:jc w:val="center"/>
      </w:pPr>
      <w:r>
        <w:drawing>
          <wp:inline xmlns:a="http://schemas.openxmlformats.org/drawingml/2006/main" xmlns:pic="http://schemas.openxmlformats.org/drawingml/2006/picture">
            <wp:extent cx="5852160" cy="2735192"/>
            <wp:docPr id="5" name="Picture 5"/>
            <wp:cNvGraphicFramePr>
              <a:graphicFrameLocks noChangeAspect="1"/>
            </wp:cNvGraphicFramePr>
            <a:graphic>
              <a:graphicData uri="http://schemas.openxmlformats.org/drawingml/2006/picture">
                <pic:pic>
                  <pic:nvPicPr>
                    <pic:cNvPr id="0" name="Read-Only NFS Export Access Validation.png"/>
                    <pic:cNvPicPr/>
                  </pic:nvPicPr>
                  <pic:blipFill>
                    <a:blip r:embed="rId15"/>
                    <a:stretch>
                      <a:fillRect/>
                    </a:stretch>
                  </pic:blipFill>
                  <pic:spPr>
                    <a:xfrm>
                      <a:off x="0" y="0"/>
                      <a:ext cx="5852160" cy="2735192"/>
                    </a:xfrm>
                    <a:prstGeom prst="rect"/>
                  </pic:spPr>
                </pic:pic>
              </a:graphicData>
            </a:graphic>
          </wp:inline>
        </w:drawing>
      </w:r>
    </w:p>
    <w:p>
      <w:pPr>
        <w:jc w:val="center"/>
      </w:pPr>
      <w:r>
        <w:rPr>
          <w:i/>
          <w:sz w:val="16"/>
        </w:rPr>
        <w:t>Figure 5. Controlled read-only access validation of the exposed NFS filesystem.</w:t>
      </w:r>
    </w:p>
    <w:p/>
    <w:p>
      <w:pPr>
        <w:jc w:val="center"/>
      </w:pPr>
      <w:r>
        <w:drawing>
          <wp:inline xmlns:a="http://schemas.openxmlformats.org/drawingml/2006/main" xmlns:pic="http://schemas.openxmlformats.org/drawingml/2006/picture">
            <wp:extent cx="5852160" cy="2712829"/>
            <wp:docPr id="6" name="Picture 6"/>
            <wp:cNvGraphicFramePr>
              <a:graphicFrameLocks noChangeAspect="1"/>
            </wp:cNvGraphicFramePr>
            <a:graphic>
              <a:graphicData uri="http://schemas.openxmlformats.org/drawingml/2006/picture">
                <pic:pic>
                  <pic:nvPicPr>
                    <pic:cNvPr id="0" name="NFS Server Export Configuration.png"/>
                    <pic:cNvPicPr/>
                  </pic:nvPicPr>
                  <pic:blipFill>
                    <a:blip r:embed="rId16"/>
                    <a:stretch>
                      <a:fillRect/>
                    </a:stretch>
                  </pic:blipFill>
                  <pic:spPr>
                    <a:xfrm>
                      <a:off x="0" y="0"/>
                      <a:ext cx="5852160" cy="2712829"/>
                    </a:xfrm>
                    <a:prstGeom prst="rect"/>
                  </pic:spPr>
                </pic:pic>
              </a:graphicData>
            </a:graphic>
          </wp:inline>
        </w:drawing>
      </w:r>
    </w:p>
    <w:p>
      <w:pPr>
        <w:jc w:val="center"/>
      </w:pPr>
      <w:r>
        <w:rPr>
          <w:i/>
          <w:sz w:val="16"/>
        </w:rPr>
        <w:t>Figure 6. Original NFS server export configuration showing the unrestricted export.</w:t>
      </w:r>
    </w:p>
    <w:p/>
    <w:p>
      <w:pPr>
        <w:pStyle w:val="Heading2"/>
      </w:pPr>
      <w:r>
        <w:t>4.2 Remediation</w:t>
      </w:r>
    </w:p>
    <w:p>
      <w:r>
        <w:t>The export was restricted to the authorized Kali host, changed to read-only access, and root_squash was enabled. The final configuration was:</w:t>
      </w:r>
    </w:p>
    <w:p>
      <w:r>
        <w:rPr>
          <w:b/>
        </w:rPr>
        <w:t>/ 192.168.56.101(ro,sync,root_squash,no_subtree_check)</w:t>
      </w:r>
    </w:p>
    <w:p>
      <w:pPr>
        <w:jc w:val="center"/>
      </w:pPr>
      <w:r>
        <w:drawing>
          <wp:inline xmlns:a="http://schemas.openxmlformats.org/drawingml/2006/main" xmlns:pic="http://schemas.openxmlformats.org/drawingml/2006/picture">
            <wp:extent cx="5852160" cy="3099050"/>
            <wp:docPr id="7" name="Picture 7"/>
            <wp:cNvGraphicFramePr>
              <a:graphicFrameLocks noChangeAspect="1"/>
            </wp:cNvGraphicFramePr>
            <a:graphic>
              <a:graphicData uri="http://schemas.openxmlformats.org/drawingml/2006/picture">
                <pic:pic>
                  <pic:nvPicPr>
                    <pic:cNvPr id="0" name="CorrectedRemediated NFS Export Configuration.png"/>
                    <pic:cNvPicPr/>
                  </pic:nvPicPr>
                  <pic:blipFill>
                    <a:blip r:embed="rId17"/>
                    <a:stretch>
                      <a:fillRect/>
                    </a:stretch>
                  </pic:blipFill>
                  <pic:spPr>
                    <a:xfrm>
                      <a:off x="0" y="0"/>
                      <a:ext cx="5852160" cy="3099050"/>
                    </a:xfrm>
                    <a:prstGeom prst="rect"/>
                  </pic:spPr>
                </pic:pic>
              </a:graphicData>
            </a:graphic>
          </wp:inline>
        </w:drawing>
      </w:r>
    </w:p>
    <w:p>
      <w:pPr>
        <w:jc w:val="center"/>
      </w:pPr>
      <w:r>
        <w:rPr>
          <w:i/>
          <w:sz w:val="16"/>
        </w:rPr>
        <w:t>Figure 7. Corrected remediated NFS export configuration.</w:t>
      </w:r>
    </w:p>
    <w:p/>
    <w:p>
      <w:pPr>
        <w:jc w:val="center"/>
      </w:pPr>
      <w:r>
        <w:drawing>
          <wp:inline xmlns:a="http://schemas.openxmlformats.org/drawingml/2006/main" xmlns:pic="http://schemas.openxmlformats.org/drawingml/2006/picture">
            <wp:extent cx="5852160" cy="1072751"/>
            <wp:docPr id="8" name="Picture 8"/>
            <wp:cNvGraphicFramePr>
              <a:graphicFrameLocks noChangeAspect="1"/>
            </wp:cNvGraphicFramePr>
            <a:graphic>
              <a:graphicData uri="http://schemas.openxmlformats.org/drawingml/2006/picture">
                <pic:pic>
                  <pic:nvPicPr>
                    <pic:cNvPr id="0" name="Post-Remediation NFS Export Verification.png"/>
                    <pic:cNvPicPr/>
                  </pic:nvPicPr>
                  <pic:blipFill>
                    <a:blip r:embed="rId18"/>
                    <a:stretch>
                      <a:fillRect/>
                    </a:stretch>
                  </pic:blipFill>
                  <pic:spPr>
                    <a:xfrm>
                      <a:off x="0" y="0"/>
                      <a:ext cx="5852160" cy="1072751"/>
                    </a:xfrm>
                    <a:prstGeom prst="rect"/>
                  </pic:spPr>
                </pic:pic>
              </a:graphicData>
            </a:graphic>
          </wp:inline>
        </w:drawing>
      </w:r>
    </w:p>
    <w:p>
      <w:pPr>
        <w:jc w:val="center"/>
      </w:pPr>
      <w:r>
        <w:rPr>
          <w:i/>
          <w:sz w:val="16"/>
        </w:rPr>
        <w:t>Figure 8. Post-remediation verification showing the export restricted to the authorized host.</w:t>
      </w:r>
    </w:p>
    <w:p/>
    <w:p>
      <w:r>
        <w:t>Post-remediation authorized read-only access was verified. No write operation was performed against the target filesystem.</w:t>
      </w:r>
    </w:p>
    <w:p>
      <w:r>
        <w:br w:type="page"/>
      </w:r>
    </w:p>
    <w:p>
      <w:pPr>
        <w:pStyle w:val="Heading1"/>
      </w:pPr>
      <w:r>
        <w:t>5. Incident Response: NIST and MITRE ATT&amp;CK</w:t>
      </w:r>
    </w:p>
    <w:p>
      <w:r>
        <w:t>Incident ID: BINCOM-IR-001. The case concerns the exposed NFS service and excessive network-share access condition described above.</w:t>
      </w:r>
    </w:p>
    <w:p>
      <w:pPr>
        <w:pStyle w:val="Heading2"/>
      </w:pPr>
      <w:r>
        <w:t>5.1 Incident timeline</w:t>
      </w:r>
    </w:p>
    <w:p>
      <w:pPr>
        <w:pStyle w:val="ListBullet"/>
      </w:pPr>
      <w:r>
        <w:t>Detect: NFS service identified during authorized network/service enumeration.</w:t>
      </w:r>
    </w:p>
    <w:p>
      <w:pPr>
        <w:pStyle w:val="ListBullet"/>
      </w:pPr>
      <w:r>
        <w:t>Investigate: RPC and NFS enumeration confirmed the service and export.</w:t>
      </w:r>
    </w:p>
    <w:p>
      <w:pPr>
        <w:pStyle w:val="ListBullet"/>
      </w:pPr>
      <w:r>
        <w:t>Validate: the filesystem exposure was confirmed through controlled read-only mounting.</w:t>
      </w:r>
    </w:p>
    <w:p>
      <w:pPr>
        <w:pStyle w:val="ListBullet"/>
      </w:pPr>
      <w:r>
        <w:t>Respond: export scope was restricted, write access removed, and root_squash enabled.</w:t>
      </w:r>
    </w:p>
    <w:p>
      <w:pPr>
        <w:pStyle w:val="ListBullet"/>
      </w:pPr>
      <w:r>
        <w:t>Recover/verify: exportfs/showmount and authorized read-only access confirmed the remediated state.</w:t>
      </w:r>
    </w:p>
    <w:p>
      <w:pPr>
        <w:pStyle w:val="ListBullet"/>
      </w:pPr>
      <w:r>
        <w:t>Close/improve: the case was documented and lessons learned were recorded.</w:t>
      </w:r>
    </w:p>
    <w:p>
      <w:pPr>
        <w:jc w:val="center"/>
      </w:pPr>
      <w:r>
        <w:drawing>
          <wp:inline xmlns:a="http://schemas.openxmlformats.org/drawingml/2006/main" xmlns:pic="http://schemas.openxmlformats.org/drawingml/2006/picture">
            <wp:extent cx="5852160" cy="8445854"/>
            <wp:docPr id="9" name="Picture 9"/>
            <wp:cNvGraphicFramePr>
              <a:graphicFrameLocks noChangeAspect="1"/>
            </wp:cNvGraphicFramePr>
            <a:graphic>
              <a:graphicData uri="http://schemas.openxmlformats.org/drawingml/2006/picture">
                <pic:pic>
                  <pic:nvPicPr>
                    <pic:cNvPr id="0" name="Incident Response Timeline.png"/>
                    <pic:cNvPicPr/>
                  </pic:nvPicPr>
                  <pic:blipFill>
                    <a:blip r:embed="rId19"/>
                    <a:stretch>
                      <a:fillRect/>
                    </a:stretch>
                  </pic:blipFill>
                  <pic:spPr>
                    <a:xfrm>
                      <a:off x="0" y="0"/>
                      <a:ext cx="5852160" cy="8445854"/>
                    </a:xfrm>
                    <a:prstGeom prst="rect"/>
                  </pic:spPr>
                </pic:pic>
              </a:graphicData>
            </a:graphic>
          </wp:inline>
        </w:drawing>
      </w:r>
    </w:p>
    <w:p>
      <w:pPr>
        <w:jc w:val="center"/>
      </w:pPr>
      <w:r>
        <w:rPr>
          <w:i/>
          <w:sz w:val="16"/>
        </w:rPr>
        <w:t>Figure 9. Incident response timeline.</w:t>
      </w:r>
    </w:p>
    <w:p/>
    <w:p>
      <w:pPr>
        <w:pStyle w:val="Heading2"/>
      </w:pPr>
      <w:r>
        <w:t>5.2 NIST mapping</w:t>
      </w:r>
    </w:p>
    <w:p>
      <w:r>
        <w:t>NIST SP 800-61 Rev. 3 is the current final revision and frames incident response around Detect, Respond and Recover, with broader preparation activities and continuous improvement integrated through the CSF 2.0 risk-management model. The laboratory case was mapped to Detect, Respond, Recover and Improvement.</w:t>
      </w:r>
    </w:p>
    <w:p>
      <w:pPr>
        <w:jc w:val="center"/>
      </w:pPr>
      <w:r>
        <w:drawing>
          <wp:inline xmlns:a="http://schemas.openxmlformats.org/drawingml/2006/main" xmlns:pic="http://schemas.openxmlformats.org/drawingml/2006/picture">
            <wp:extent cx="5852160" cy="10105988"/>
            <wp:docPr id="10" name="Picture 10"/>
            <wp:cNvGraphicFramePr>
              <a:graphicFrameLocks noChangeAspect="1"/>
            </wp:cNvGraphicFramePr>
            <a:graphic>
              <a:graphicData uri="http://schemas.openxmlformats.org/drawingml/2006/picture">
                <pic:pic>
                  <pic:nvPicPr>
                    <pic:cNvPr id="0" name="NIST Incident Response Mapping 1.png"/>
                    <pic:cNvPicPr/>
                  </pic:nvPicPr>
                  <pic:blipFill>
                    <a:blip r:embed="rId20"/>
                    <a:stretch>
                      <a:fillRect/>
                    </a:stretch>
                  </pic:blipFill>
                  <pic:spPr>
                    <a:xfrm>
                      <a:off x="0" y="0"/>
                      <a:ext cx="5852160" cy="10105988"/>
                    </a:xfrm>
                    <a:prstGeom prst="rect"/>
                  </pic:spPr>
                </pic:pic>
              </a:graphicData>
            </a:graphic>
          </wp:inline>
        </w:drawing>
      </w:r>
    </w:p>
    <w:p>
      <w:pPr>
        <w:jc w:val="center"/>
      </w:pPr>
      <w:r>
        <w:rPr>
          <w:i/>
          <w:sz w:val="16"/>
        </w:rPr>
        <w:t>Figure 10. NIST incident-response mapping for BINCOM-IR-001.</w:t>
      </w:r>
    </w:p>
    <w:p/>
    <w:p>
      <w:pPr>
        <w:pStyle w:val="Heading2"/>
      </w:pPr>
      <w:r>
        <w:t>5.3 MITRE ATT&amp;CK mapping</w:t>
      </w:r>
    </w:p>
    <w:p>
      <w:r>
        <w:t>The authorized service-enumeration activity is consistent with ATT&amp;CK T1046 Network Service Discovery, which covers identifying services on remote hosts. NFS export/share enumeration was mapped to T1135 Network Share Discovery. These mappings describe observed activities for defensive analysis; they do not imply malicious intent by the investigator.</w:t>
      </w:r>
    </w:p>
    <w:p>
      <w:pPr>
        <w:jc w:val="center"/>
      </w:pPr>
      <w:r>
        <w:drawing>
          <wp:inline xmlns:a="http://schemas.openxmlformats.org/drawingml/2006/main" xmlns:pic="http://schemas.openxmlformats.org/drawingml/2006/picture">
            <wp:extent cx="5852160" cy="8767114"/>
            <wp:docPr id="11" name="Picture 11"/>
            <wp:cNvGraphicFramePr>
              <a:graphicFrameLocks noChangeAspect="1"/>
            </wp:cNvGraphicFramePr>
            <a:graphic>
              <a:graphicData uri="http://schemas.openxmlformats.org/drawingml/2006/picture">
                <pic:pic>
                  <pic:nvPicPr>
                    <pic:cNvPr id="0" name="MITRE ATT&amp;CK Mapping 1.png"/>
                    <pic:cNvPicPr/>
                  </pic:nvPicPr>
                  <pic:blipFill>
                    <a:blip r:embed="rId21"/>
                    <a:stretch>
                      <a:fillRect/>
                    </a:stretch>
                  </pic:blipFill>
                  <pic:spPr>
                    <a:xfrm>
                      <a:off x="0" y="0"/>
                      <a:ext cx="5852160" cy="8767114"/>
                    </a:xfrm>
                    <a:prstGeom prst="rect"/>
                  </pic:spPr>
                </pic:pic>
              </a:graphicData>
            </a:graphic>
          </wp:inline>
        </w:drawing>
      </w:r>
    </w:p>
    <w:p>
      <w:pPr>
        <w:jc w:val="center"/>
      </w:pPr>
      <w:r>
        <w:rPr>
          <w:i/>
          <w:sz w:val="16"/>
        </w:rPr>
        <w:t>Figure 11. MITRE ATT&amp;CK mapping for the observed discovery activities.</w:t>
      </w:r>
    </w:p>
    <w:p/>
    <w:p>
      <w:r>
        <w:t>The controlled read-only mount was deliberately documented as defensive validation rather than as adversary exploitation.</w:t>
      </w:r>
    </w:p>
    <w:p>
      <w:r>
        <w:br w:type="page"/>
      </w:r>
    </w:p>
    <w:p>
      <w:pPr>
        <w:pStyle w:val="Heading1"/>
      </w:pPr>
      <w:r>
        <w:t>6. Risk Management: NIST RMF and ISO 31000</w:t>
      </w:r>
    </w:p>
    <w:p>
      <w:r>
        <w:t>Risk ID: BINCOM-RISK-001. The risk concerns the initial unrestricted NFS export and the exposure created by broad access, write permission and disabled root squashing.</w:t>
      </w:r>
    </w:p>
    <w:p>
      <w:pPr>
        <w:pStyle w:val="Heading2"/>
      </w:pPr>
      <w:r>
        <w:t>6.1 Risk register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tcPr>
          <w:p>
            <w:r>
              <w:rPr>
                <w:b/>
                <w:color w:val="FFFFFF"/>
              </w:rPr>
              <w:t>Risk Element</w:t>
            </w:r>
          </w:p>
        </w:tc>
        <w:tc>
          <w:tcPr>
            <w:tcW w:type="dxa" w:w="2520"/>
            <w:shd w:fill="1F4E78"/>
          </w:tcPr>
          <w:p>
            <w:r>
              <w:rPr>
                <w:b/>
                <w:color w:val="FFFFFF"/>
              </w:rPr>
              <w:t>Assessment</w:t>
            </w:r>
          </w:p>
        </w:tc>
        <w:tc>
          <w:tcPr>
            <w:tcW w:type="dxa" w:w="2520"/>
            <w:shd w:fill="1F4E78"/>
          </w:tcPr>
          <w:p>
            <w:r>
              <w:rPr>
                <w:b/>
                <w:color w:val="FFFFFF"/>
              </w:rPr>
              <w:t>Treatment</w:t>
            </w:r>
          </w:p>
        </w:tc>
        <w:tc>
          <w:tcPr>
            <w:tcW w:type="dxa" w:w="2520"/>
            <w:shd w:fill="1F4E78"/>
          </w:tcPr>
          <w:p>
            <w:r>
              <w:rPr>
                <w:b/>
                <w:color w:val="FFFFFF"/>
              </w:rPr>
              <w:t>Status</w:t>
            </w:r>
          </w:p>
        </w:tc>
      </w:tr>
      <w:tr>
        <w:tc>
          <w:tcPr>
            <w:tcW w:type="dxa" w:w="2520"/>
          </w:tcPr>
          <w:p>
            <w:r>
              <w:t>Likelihood</w:t>
            </w:r>
          </w:p>
        </w:tc>
        <w:tc>
          <w:tcPr>
            <w:tcW w:type="dxa" w:w="2520"/>
          </w:tcPr>
          <w:p>
            <w:r>
              <w:t>Moderate</w:t>
            </w:r>
          </w:p>
        </w:tc>
        <w:tc>
          <w:tcPr>
            <w:tcW w:type="dxa" w:w="2520"/>
          </w:tcPr>
          <w:p>
            <w:r>
              <w:t>Mitigate</w:t>
            </w:r>
          </w:p>
        </w:tc>
        <w:tc>
          <w:tcPr>
            <w:tcW w:type="dxa" w:w="2520"/>
          </w:tcPr>
          <w:p>
            <w:r>
              <w:t>Implemented</w:t>
            </w:r>
          </w:p>
        </w:tc>
      </w:tr>
      <w:tr>
        <w:tc>
          <w:tcPr>
            <w:tcW w:type="dxa" w:w="2520"/>
          </w:tcPr>
          <w:p>
            <w:r>
              <w:t>Impact</w:t>
            </w:r>
          </w:p>
        </w:tc>
        <w:tc>
          <w:tcPr>
            <w:tcW w:type="dxa" w:w="2520"/>
          </w:tcPr>
          <w:p>
            <w:r>
              <w:t>High</w:t>
            </w:r>
          </w:p>
        </w:tc>
        <w:tc>
          <w:tcPr>
            <w:tcW w:type="dxa" w:w="2520"/>
          </w:tcPr>
          <w:p>
            <w:r>
              <w:t>Restrict export</w:t>
            </w:r>
          </w:p>
        </w:tc>
        <w:tc>
          <w:tcPr>
            <w:tcW w:type="dxa" w:w="2520"/>
          </w:tcPr>
          <w:p>
            <w:r>
              <w:t>Verified</w:t>
            </w:r>
          </w:p>
        </w:tc>
      </w:tr>
      <w:tr>
        <w:tc>
          <w:tcPr>
            <w:tcW w:type="dxa" w:w="2520"/>
          </w:tcPr>
          <w:p>
            <w:r>
              <w:t>Initial risk</w:t>
            </w:r>
          </w:p>
        </w:tc>
        <w:tc>
          <w:tcPr>
            <w:tcW w:type="dxa" w:w="2520"/>
          </w:tcPr>
          <w:p>
            <w:r>
              <w:t>High</w:t>
            </w:r>
          </w:p>
        </w:tc>
        <w:tc>
          <w:tcPr>
            <w:tcW w:type="dxa" w:w="2520"/>
          </w:tcPr>
          <w:p>
            <w:r>
              <w:t>Read-only + root_squash</w:t>
            </w:r>
          </w:p>
        </w:tc>
        <w:tc>
          <w:tcPr>
            <w:tcW w:type="dxa" w:w="2520"/>
          </w:tcPr>
          <w:p>
            <w:r>
              <w:t>Verified</w:t>
            </w:r>
          </w:p>
        </w:tc>
      </w:tr>
      <w:tr>
        <w:tc>
          <w:tcPr>
            <w:tcW w:type="dxa" w:w="2520"/>
          </w:tcPr>
          <w:p>
            <w:r>
              <w:t>Risk owner</w:t>
            </w:r>
          </w:p>
        </w:tc>
        <w:tc>
          <w:tcPr>
            <w:tcW w:type="dxa" w:w="2520"/>
          </w:tcPr>
          <w:p>
            <w:r>
              <w:t>System administrator / system owner</w:t>
            </w:r>
          </w:p>
        </w:tc>
        <w:tc>
          <w:tcPr>
            <w:tcW w:type="dxa" w:w="2520"/>
          </w:tcPr>
          <w:p>
            <w:r>
              <w:t>Maintain configuration</w:t>
            </w:r>
          </w:p>
        </w:tc>
        <w:tc>
          <w:tcPr>
            <w:tcW w:type="dxa" w:w="2520"/>
          </w:tcPr>
          <w:p>
            <w:r>
              <w:t>Ongoing review</w:t>
            </w:r>
          </w:p>
        </w:tc>
      </w:tr>
    </w:tbl>
    <w:p>
      <w:pPr>
        <w:jc w:val="center"/>
      </w:pPr>
      <w:r>
        <w:drawing>
          <wp:inline xmlns:a="http://schemas.openxmlformats.org/drawingml/2006/main" xmlns:pic="http://schemas.openxmlformats.org/drawingml/2006/picture">
            <wp:extent cx="5852160" cy="12580491"/>
            <wp:docPr id="12" name="Picture 12"/>
            <wp:cNvGraphicFramePr>
              <a:graphicFrameLocks noChangeAspect="1"/>
            </wp:cNvGraphicFramePr>
            <a:graphic>
              <a:graphicData uri="http://schemas.openxmlformats.org/drawingml/2006/picture">
                <pic:pic>
                  <pic:nvPicPr>
                    <pic:cNvPr id="0" name="Risk Register 1.png"/>
                    <pic:cNvPicPr/>
                  </pic:nvPicPr>
                  <pic:blipFill>
                    <a:blip r:embed="rId22"/>
                    <a:stretch>
                      <a:fillRect/>
                    </a:stretch>
                  </pic:blipFill>
                  <pic:spPr>
                    <a:xfrm>
                      <a:off x="0" y="0"/>
                      <a:ext cx="5852160" cy="12580491"/>
                    </a:xfrm>
                    <a:prstGeom prst="rect"/>
                  </pic:spPr>
                </pic:pic>
              </a:graphicData>
            </a:graphic>
          </wp:inline>
        </w:drawing>
      </w:r>
    </w:p>
    <w:p>
      <w:pPr>
        <w:jc w:val="center"/>
      </w:pPr>
      <w:r>
        <w:rPr>
          <w:i/>
          <w:sz w:val="16"/>
        </w:rPr>
        <w:t>Figure 12. Risk register for BINCOM-RISK-001.</w:t>
      </w:r>
    </w:p>
    <w:p/>
    <w:p>
      <w:pPr>
        <w:pStyle w:val="Heading2"/>
      </w:pPr>
      <w:r>
        <w:t>6.2 Treatment plan</w:t>
      </w:r>
    </w:p>
    <w:p>
      <w:r>
        <w:t>Treatment decision: MITIGATE. Controls included restricting the export to the authorized Kali host, removing unnecessary write access, enabling root_squash, reloading the configuration, and verifying effective settings.</w:t>
      </w:r>
    </w:p>
    <w:p>
      <w:pPr>
        <w:jc w:val="center"/>
      </w:pPr>
      <w:r>
        <w:drawing>
          <wp:inline xmlns:a="http://schemas.openxmlformats.org/drawingml/2006/main" xmlns:pic="http://schemas.openxmlformats.org/drawingml/2006/picture">
            <wp:extent cx="5852160" cy="11625022"/>
            <wp:docPr id="13" name="Picture 13"/>
            <wp:cNvGraphicFramePr>
              <a:graphicFrameLocks noChangeAspect="1"/>
            </wp:cNvGraphicFramePr>
            <a:graphic>
              <a:graphicData uri="http://schemas.openxmlformats.org/drawingml/2006/picture">
                <pic:pic>
                  <pic:nvPicPr>
                    <pic:cNvPr id="0" name="Risk Treatment Plan 1.png"/>
                    <pic:cNvPicPr/>
                  </pic:nvPicPr>
                  <pic:blipFill>
                    <a:blip r:embed="rId23"/>
                    <a:stretch>
                      <a:fillRect/>
                    </a:stretch>
                  </pic:blipFill>
                  <pic:spPr>
                    <a:xfrm>
                      <a:off x="0" y="0"/>
                      <a:ext cx="5852160" cy="11625022"/>
                    </a:xfrm>
                    <a:prstGeom prst="rect"/>
                  </pic:spPr>
                </pic:pic>
              </a:graphicData>
            </a:graphic>
          </wp:inline>
        </w:drawing>
      </w:r>
    </w:p>
    <w:p>
      <w:pPr>
        <w:jc w:val="center"/>
      </w:pPr>
      <w:r>
        <w:rPr>
          <w:i/>
          <w:sz w:val="16"/>
        </w:rPr>
        <w:t>Figure 13. Risk treatment plan for BINCOM-RISK-001.</w:t>
      </w:r>
    </w:p>
    <w:p/>
    <w:p>
      <w:pPr>
        <w:pStyle w:val="Heading2"/>
      </w:pPr>
      <w:r>
        <w:t>6.3 ISO 31000 practical mapping</w:t>
      </w:r>
    </w:p>
    <w:p>
      <w:r>
        <w:t>The exercise was mapped to risk identification, analysis, evaluation, treatment, monitoring/review, and communication/recording. The mapping is presented as a practical educational application, not as a claim of formal ISO 31000 certification.</w:t>
      </w:r>
    </w:p>
    <w:p>
      <w:pPr>
        <w:jc w:val="center"/>
      </w:pPr>
      <w:r>
        <w:drawing>
          <wp:inline xmlns:a="http://schemas.openxmlformats.org/drawingml/2006/main" xmlns:pic="http://schemas.openxmlformats.org/drawingml/2006/picture">
            <wp:extent cx="5852160" cy="11768453"/>
            <wp:docPr id="14" name="Picture 14"/>
            <wp:cNvGraphicFramePr>
              <a:graphicFrameLocks noChangeAspect="1"/>
            </wp:cNvGraphicFramePr>
            <a:graphic>
              <a:graphicData uri="http://schemas.openxmlformats.org/drawingml/2006/picture">
                <pic:pic>
                  <pic:nvPicPr>
                    <pic:cNvPr id="0" name="ISO 31000 Risk Management Mapping 2 (1).png"/>
                    <pic:cNvPicPr/>
                  </pic:nvPicPr>
                  <pic:blipFill>
                    <a:blip r:embed="rId24"/>
                    <a:stretch>
                      <a:fillRect/>
                    </a:stretch>
                  </pic:blipFill>
                  <pic:spPr>
                    <a:xfrm>
                      <a:off x="0" y="0"/>
                      <a:ext cx="5852160" cy="11768453"/>
                    </a:xfrm>
                    <a:prstGeom prst="rect"/>
                  </pic:spPr>
                </pic:pic>
              </a:graphicData>
            </a:graphic>
          </wp:inline>
        </w:drawing>
      </w:r>
    </w:p>
    <w:p>
      <w:pPr>
        <w:jc w:val="center"/>
      </w:pPr>
      <w:r>
        <w:rPr>
          <w:i/>
          <w:sz w:val="16"/>
        </w:rPr>
        <w:t>Figure 14. ISO 31000 practical risk-management mapping.</w:t>
      </w:r>
    </w:p>
    <w:p/>
    <w:p>
      <w:pPr>
        <w:pStyle w:val="Heading2"/>
      </w:pPr>
      <w:r>
        <w:t>6.4 NIST RMF alignment</w:t>
      </w:r>
    </w:p>
    <w:p>
      <w:r>
        <w:t>The report records relevant laboratory activities corresponding to risk identification, categorization/analysis, control selection, implementation, assessment and monitoring. Formal organizational authorization was outside the scope of the laboratory exercise.</w:t>
      </w:r>
    </w:p>
    <w:p>
      <w:r>
        <w:br w:type="page"/>
      </w:r>
    </w:p>
    <w:p>
      <w:pPr>
        <w:pStyle w:val="Heading1"/>
      </w:pPr>
      <w:r>
        <w:t>7. Securing AI Agents and AI Risk Assessment</w:t>
      </w:r>
    </w:p>
    <w:p>
      <w:r>
        <w:t>AI Assessment ID: BINCOM-AI-001. Because no real AI compromise was being investigated, this section uses a controlled educational case study of a hypothetical BINCOM Security AI Agent used to assist cybersecurity analysts.</w:t>
      </w:r>
    </w:p>
    <w:p>
      <w:pPr>
        <w:pStyle w:val="Heading2"/>
      </w:pPr>
      <w:r>
        <w:t>7.1 AI-agent security scope</w:t>
      </w:r>
    </w:p>
    <w:p>
      <w:r>
        <w:t>The scope covers the model/runtime, instruction and policy layer, controlled tools, retrieval/data sources, access control, data handling, model/component provenance, supply-chain concerns, monitoring and trust boundaries.</w:t>
      </w:r>
    </w:p>
    <w:p>
      <w:pPr>
        <w:jc w:val="center"/>
      </w:pPr>
      <w:r>
        <w:drawing>
          <wp:inline xmlns:a="http://schemas.openxmlformats.org/drawingml/2006/main" xmlns:pic="http://schemas.openxmlformats.org/drawingml/2006/picture">
            <wp:extent cx="5852160" cy="16651290"/>
            <wp:docPr id="15" name="Picture 15"/>
            <wp:cNvGraphicFramePr>
              <a:graphicFrameLocks noChangeAspect="1"/>
            </wp:cNvGraphicFramePr>
            <a:graphic>
              <a:graphicData uri="http://schemas.openxmlformats.org/drawingml/2006/picture">
                <pic:pic>
                  <pic:nvPicPr>
                    <pic:cNvPr id="0" name="AI Security Assessment Scope 2 (1).png"/>
                    <pic:cNvPicPr/>
                  </pic:nvPicPr>
                  <pic:blipFill>
                    <a:blip r:embed="rId25"/>
                    <a:stretch>
                      <a:fillRect/>
                    </a:stretch>
                  </pic:blipFill>
                  <pic:spPr>
                    <a:xfrm>
                      <a:off x="0" y="0"/>
                      <a:ext cx="5852160" cy="16651290"/>
                    </a:xfrm>
                    <a:prstGeom prst="rect"/>
                  </pic:spPr>
                </pic:pic>
              </a:graphicData>
            </a:graphic>
          </wp:inline>
        </w:drawing>
      </w:r>
    </w:p>
    <w:p>
      <w:pPr>
        <w:jc w:val="center"/>
      </w:pPr>
      <w:r>
        <w:rPr>
          <w:i/>
          <w:sz w:val="16"/>
        </w:rPr>
        <w:t>Figure 15. AI security assessment scope.</w:t>
      </w:r>
    </w:p>
    <w:p/>
    <w:p>
      <w:pPr>
        <w:pStyle w:val="Heading2"/>
      </w:pPr>
      <w:r>
        <w:t>7.2 AI risk register</w:t>
      </w:r>
    </w:p>
    <w:p>
      <w:r>
        <w:t>Eight risks were assessed: prompt injection; model inversion/information reconstruction; data poisoning; privacy leakage; hallucination/incorrect output; service abuse/resource exhaustion; excessive agency/unauthorized tool action; and model/component supply-chain risk.</w:t>
      </w:r>
    </w:p>
    <w:p>
      <w:pPr>
        <w:jc w:val="center"/>
      </w:pPr>
      <w:r>
        <w:drawing>
          <wp:inline xmlns:a="http://schemas.openxmlformats.org/drawingml/2006/main" xmlns:pic="http://schemas.openxmlformats.org/drawingml/2006/picture">
            <wp:extent cx="5852160" cy="16557331"/>
            <wp:docPr id="16" name="Picture 16"/>
            <wp:cNvGraphicFramePr>
              <a:graphicFrameLocks noChangeAspect="1"/>
            </wp:cNvGraphicFramePr>
            <a:graphic>
              <a:graphicData uri="http://schemas.openxmlformats.org/drawingml/2006/picture">
                <pic:pic>
                  <pic:nvPicPr>
                    <pic:cNvPr id="0" name="AI Risk Register 3 (2).png"/>
                    <pic:cNvPicPr/>
                  </pic:nvPicPr>
                  <pic:blipFill>
                    <a:blip r:embed="rId26"/>
                    <a:stretch>
                      <a:fillRect/>
                    </a:stretch>
                  </pic:blipFill>
                  <pic:spPr>
                    <a:xfrm>
                      <a:off x="0" y="0"/>
                      <a:ext cx="5852160" cy="16557331"/>
                    </a:xfrm>
                    <a:prstGeom prst="rect"/>
                  </pic:spPr>
                </pic:pic>
              </a:graphicData>
            </a:graphic>
          </wp:inline>
        </w:drawing>
      </w:r>
    </w:p>
    <w:p>
      <w:pPr>
        <w:jc w:val="center"/>
      </w:pPr>
      <w:r>
        <w:rPr>
          <w:i/>
          <w:sz w:val="16"/>
        </w:rPr>
        <w:t>Figure 16. AI risk register excerpt covering the principal assessed AI risks.</w:t>
      </w:r>
    </w:p>
    <w:p/>
    <w:p>
      <w:r>
        <w:t>Controls emphasized least privilege, data minimization, trusted data sources, provenance tracking, output validation, tool authorization, human approval for high-impact actions, monitoring and controlled updates.</w:t>
      </w:r>
    </w:p>
    <w:p>
      <w:r>
        <w:br w:type="page"/>
      </w:r>
    </w:p>
    <w:p>
      <w:pPr>
        <w:pStyle w:val="Heading1"/>
      </w:pPr>
      <w:r>
        <w:t>8. Prompt Injection: Analysis and Mitigation</w:t>
      </w:r>
    </w:p>
    <w:p>
      <w:pPr>
        <w:pStyle w:val="Heading2"/>
      </w:pPr>
      <w:r>
        <w:t>8.1 Controlled prompt-injection scenario</w:t>
      </w:r>
    </w:p>
    <w:p>
      <w:r>
        <w:t>The scenario treats log/document content as untrusted data. The malicious content attempts to override trusted instructions, request credentials/system instructions and trigger administrative actions. The secure behavior is to treat that content as data and continue the intended analysis without executing the embedded instructions.</w:t>
      </w:r>
    </w:p>
    <w:p>
      <w:pPr>
        <w:jc w:val="center"/>
      </w:pPr>
      <w:r>
        <w:drawing>
          <wp:inline xmlns:a="http://schemas.openxmlformats.org/drawingml/2006/main" xmlns:pic="http://schemas.openxmlformats.org/drawingml/2006/picture">
            <wp:extent cx="5852160" cy="16632455"/>
            <wp:docPr id="17" name="Picture 17"/>
            <wp:cNvGraphicFramePr>
              <a:graphicFrameLocks noChangeAspect="1"/>
            </wp:cNvGraphicFramePr>
            <a:graphic>
              <a:graphicData uri="http://schemas.openxmlformats.org/drawingml/2006/picture">
                <pic:pic>
                  <pic:nvPicPr>
                    <pic:cNvPr id="0" name="Prompt Injection Analysis 2 (1).png"/>
                    <pic:cNvPicPr/>
                  </pic:nvPicPr>
                  <pic:blipFill>
                    <a:blip r:embed="rId27"/>
                    <a:stretch>
                      <a:fillRect/>
                    </a:stretch>
                  </pic:blipFill>
                  <pic:spPr>
                    <a:xfrm>
                      <a:off x="0" y="0"/>
                      <a:ext cx="5852160" cy="16632455"/>
                    </a:xfrm>
                    <a:prstGeom prst="rect"/>
                  </pic:spPr>
                </pic:pic>
              </a:graphicData>
            </a:graphic>
          </wp:inline>
        </w:drawing>
      </w:r>
    </w:p>
    <w:p>
      <w:pPr>
        <w:jc w:val="center"/>
      </w:pPr>
      <w:r>
        <w:rPr>
          <w:i/>
          <w:sz w:val="16"/>
        </w:rPr>
        <w:t>Figure 17. Controlled prompt-injection analysis.</w:t>
      </w:r>
    </w:p>
    <w:p/>
    <w:p>
      <w:pPr>
        <w:pStyle w:val="Heading2"/>
      </w:pPr>
      <w:r>
        <w:t>8.2 Mitigation strategy</w:t>
      </w:r>
    </w:p>
    <w:p>
      <w:r>
        <w:t>The mitigation matrix uses defense in depth: input validation; instruction/data separation; retrieval-source validation; sensitive-data filtering; least-privilege tool access; tool allowlists; sandboxing; authorization; human approval; output validation; centralized logging; SIEM correlation; and incident-response procedures.</w:t>
      </w:r>
    </w:p>
    <w:p>
      <w:pPr>
        <w:jc w:val="center"/>
      </w:pPr>
      <w:r>
        <w:drawing>
          <wp:inline xmlns:a="http://schemas.openxmlformats.org/drawingml/2006/main" xmlns:pic="http://schemas.openxmlformats.org/drawingml/2006/picture">
            <wp:extent cx="5852160" cy="15010408"/>
            <wp:docPr id="18" name="Picture 18"/>
            <wp:cNvGraphicFramePr>
              <a:graphicFrameLocks noChangeAspect="1"/>
            </wp:cNvGraphicFramePr>
            <a:graphic>
              <a:graphicData uri="http://schemas.openxmlformats.org/drawingml/2006/picture">
                <pic:pic>
                  <pic:nvPicPr>
                    <pic:cNvPr id="0" name="Prompt Injection Mitigation Matrix 2 (1).png"/>
                    <pic:cNvPicPr/>
                  </pic:nvPicPr>
                  <pic:blipFill>
                    <a:blip r:embed="rId28"/>
                    <a:stretch>
                      <a:fillRect/>
                    </a:stretch>
                  </pic:blipFill>
                  <pic:spPr>
                    <a:xfrm>
                      <a:off x="0" y="0"/>
                      <a:ext cx="5852160" cy="15010408"/>
                    </a:xfrm>
                    <a:prstGeom prst="rect"/>
                  </pic:spPr>
                </pic:pic>
              </a:graphicData>
            </a:graphic>
          </wp:inline>
        </w:drawing>
      </w:r>
    </w:p>
    <w:p>
      <w:pPr>
        <w:jc w:val="center"/>
      </w:pPr>
      <w:r>
        <w:rPr>
          <w:i/>
          <w:sz w:val="16"/>
        </w:rPr>
        <w:t>Figure 18. Prompt-injection mitigation matrix.</w:t>
      </w:r>
    </w:p>
    <w:p/>
    <w:p>
      <w:r>
        <w:t>A core security principle is that the AI model itself must not be the sole security control. Independent application-level authorization, access control, validation, monitoring and human oversight should enforce security-sensitive decisions.</w:t>
      </w:r>
    </w:p>
    <w:p>
      <w:r>
        <w:br w:type="page"/>
      </w:r>
    </w:p>
    <w:p>
      <w:pPr>
        <w:pStyle w:val="Heading1"/>
      </w:pPr>
      <w:r>
        <w:t>9. AI Risk Integration with Incident Response and SIEM</w:t>
      </w:r>
    </w:p>
    <w:p>
      <w:r>
        <w:t>AI-specific events can be incorporated into the same broader security-monitoring and incident-response process demonstrated by the laboratory SIEM. Potential monitored events include authentication activity, prompt-injection indicators, tool invocation, privileged actions, sensitive-data detection, excessive request rates, model/configuration changes, and dependency/model updates.</w:t>
      </w:r>
    </w:p>
    <w:p>
      <w:pPr>
        <w:jc w:val="center"/>
      </w:pPr>
      <w:r>
        <w:drawing>
          <wp:inline xmlns:a="http://schemas.openxmlformats.org/drawingml/2006/main" xmlns:pic="http://schemas.openxmlformats.org/drawingml/2006/picture">
            <wp:extent cx="5852160" cy="13309780"/>
            <wp:docPr id="19" name="Picture 19"/>
            <wp:cNvGraphicFramePr>
              <a:graphicFrameLocks noChangeAspect="1"/>
            </wp:cNvGraphicFramePr>
            <a:graphic>
              <a:graphicData uri="http://schemas.openxmlformats.org/drawingml/2006/picture">
                <pic:pic>
                  <pic:nvPicPr>
                    <pic:cNvPr id="0" name="AI Incident Response Integration 2 (1).png"/>
                    <pic:cNvPicPr/>
                  </pic:nvPicPr>
                  <pic:blipFill>
                    <a:blip r:embed="rId29"/>
                    <a:stretch>
                      <a:fillRect/>
                    </a:stretch>
                  </pic:blipFill>
                  <pic:spPr>
                    <a:xfrm>
                      <a:off x="0" y="0"/>
                      <a:ext cx="5852160" cy="13309780"/>
                    </a:xfrm>
                    <a:prstGeom prst="rect"/>
                  </pic:spPr>
                </pic:pic>
              </a:graphicData>
            </a:graphic>
          </wp:inline>
        </w:drawing>
      </w:r>
    </w:p>
    <w:p>
      <w:pPr>
        <w:jc w:val="center"/>
      </w:pPr>
      <w:r>
        <w:rPr>
          <w:i/>
          <w:sz w:val="16"/>
        </w:rPr>
        <w:t>Figure 19. AI incident-response integration with SIEM monitoring.</w:t>
      </w:r>
    </w:p>
    <w:p/>
    <w:p>
      <w:pPr>
        <w:pStyle w:val="Heading2"/>
      </w:pPr>
      <w:r>
        <w:t>9.1 AI incident-response workflow</w:t>
      </w:r>
    </w:p>
    <w:p>
      <w:pPr>
        <w:pStyle w:val="ListBullet"/>
      </w:pPr>
      <w:r>
        <w:t>Preparation: maintain AI policies, model/component inventory, access controls, tool permissions, logging and escalation procedures.</w:t>
      </w:r>
    </w:p>
    <w:p>
      <w:pPr>
        <w:pStyle w:val="ListBullet"/>
      </w:pPr>
      <w:r>
        <w:t>Detection: identify suspicious prompts, unexpected tool use, abnormal behavior, sensitive-data exposure or unusual request volume.</w:t>
      </w:r>
    </w:p>
    <w:p>
      <w:pPr>
        <w:pStyle w:val="ListBullet"/>
      </w:pPr>
      <w:r>
        <w:t>Triage/analysis: determine the triggering input, model/application version, accessible tools/data, output and whether actions occurred.</w:t>
      </w:r>
    </w:p>
    <w:p>
      <w:pPr>
        <w:pStyle w:val="ListBullet"/>
      </w:pPr>
      <w:r>
        <w:t>Containment: restrict sessions/tools, block malicious sources, disable high-impact actions and increase monitoring.</w:t>
      </w:r>
    </w:p>
    <w:p>
      <w:pPr>
        <w:pStyle w:val="ListBullet"/>
      </w:pPr>
      <w:r>
        <w:t>Eradication/remediation: strengthen instruction isolation, input/output controls, permissions, credentials, provenance and vulnerable components.</w:t>
      </w:r>
    </w:p>
    <w:p>
      <w:pPr>
        <w:pStyle w:val="ListBullet"/>
      </w:pPr>
      <w:r>
        <w:t>Recovery: validate controls, permissions, filtering, versions and monitoring before restoring approved functionality.</w:t>
      </w:r>
    </w:p>
    <w:p>
      <w:pPr>
        <w:pStyle w:val="ListBullet"/>
      </w:pPr>
      <w:r>
        <w:t>Improvement: feed lessons learned into AI risk assessments, monitoring rules, controls and incident-response procedures.</w:t>
      </w:r>
    </w:p>
    <w:p>
      <w:pPr>
        <w:pStyle w:val="Heading2"/>
      </w:pPr>
      <w:r>
        <w:t>9.2 Consolidated AI-security conclusion</w:t>
      </w:r>
    </w:p>
    <w:p>
      <w:r>
        <w:t>The AI assessment establishes a defense-in-depth model in which the AI system operates within independent identity, authorization, data-protection, tool-control, logging, monitoring and human-oversight mechanisms.</w:t>
      </w:r>
    </w:p>
    <w:p>
      <w:pPr>
        <w:jc w:val="center"/>
      </w:pPr>
      <w:r>
        <w:drawing>
          <wp:inline xmlns:a="http://schemas.openxmlformats.org/drawingml/2006/main" xmlns:pic="http://schemas.openxmlformats.org/drawingml/2006/picture">
            <wp:extent cx="5852160" cy="13318097"/>
            <wp:docPr id="20" name="Picture 20"/>
            <wp:cNvGraphicFramePr>
              <a:graphicFrameLocks noChangeAspect="1"/>
            </wp:cNvGraphicFramePr>
            <a:graphic>
              <a:graphicData uri="http://schemas.openxmlformats.org/drawingml/2006/picture">
                <pic:pic>
                  <pic:nvPicPr>
                    <pic:cNvPr id="0" name="AI Security Assessment Summary 2 (1).png"/>
                    <pic:cNvPicPr/>
                  </pic:nvPicPr>
                  <pic:blipFill>
                    <a:blip r:embed="rId30"/>
                    <a:stretch>
                      <a:fillRect/>
                    </a:stretch>
                  </pic:blipFill>
                  <pic:spPr>
                    <a:xfrm>
                      <a:off x="0" y="0"/>
                      <a:ext cx="5852160" cy="13318097"/>
                    </a:xfrm>
                    <a:prstGeom prst="rect"/>
                  </pic:spPr>
                </pic:pic>
              </a:graphicData>
            </a:graphic>
          </wp:inline>
        </w:drawing>
      </w:r>
    </w:p>
    <w:p>
      <w:pPr>
        <w:jc w:val="center"/>
      </w:pPr>
      <w:r>
        <w:rPr>
          <w:i/>
          <w:sz w:val="16"/>
        </w:rPr>
        <w:t>Figure 20. AI security assessment summary.</w:t>
      </w:r>
    </w:p>
    <w:p/>
    <w:p>
      <w:r>
        <w:br w:type="page"/>
      </w:r>
    </w:p>
    <w:p>
      <w:pPr>
        <w:pStyle w:val="Heading1"/>
      </w:pPr>
      <w:r>
        <w:t>10. Findings, Security Improvements and Limitations</w:t>
      </w:r>
    </w:p>
    <w:p>
      <w:pPr>
        <w:pStyle w:val="Heading2"/>
      </w:pPr>
      <w:r>
        <w:t>10.1 Key findings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rPr>
              <w:t>ID</w:t>
            </w:r>
          </w:p>
        </w:tc>
        <w:tc>
          <w:tcPr>
            <w:tcW w:type="dxa" w:w="2016"/>
            <w:shd w:fill="1F4E78"/>
          </w:tcPr>
          <w:p>
            <w:r>
              <w:rPr>
                <w:b/>
                <w:color w:val="FFFFFF"/>
              </w:rPr>
              <w:t>Finding</w:t>
            </w:r>
          </w:p>
        </w:tc>
        <w:tc>
          <w:tcPr>
            <w:tcW w:type="dxa" w:w="2016"/>
            <w:shd w:fill="1F4E78"/>
          </w:tcPr>
          <w:p>
            <w:r>
              <w:rPr>
                <w:b/>
                <w:color w:val="FFFFFF"/>
              </w:rPr>
              <w:t>Rating</w:t>
            </w:r>
          </w:p>
        </w:tc>
        <w:tc>
          <w:tcPr>
            <w:tcW w:type="dxa" w:w="2016"/>
            <w:shd w:fill="1F4E78"/>
          </w:tcPr>
          <w:p>
            <w:r>
              <w:rPr>
                <w:b/>
                <w:color w:val="FFFFFF"/>
              </w:rPr>
              <w:t>Evidence/Meaning</w:t>
            </w:r>
          </w:p>
        </w:tc>
        <w:tc>
          <w:tcPr>
            <w:tcW w:type="dxa" w:w="2016"/>
            <w:shd w:fill="1F4E78"/>
          </w:tcPr>
          <w:p>
            <w:r>
              <w:rPr>
                <w:b/>
                <w:color w:val="FFFFFF"/>
              </w:rPr>
              <w:t>Improvement</w:t>
            </w:r>
          </w:p>
        </w:tc>
      </w:tr>
      <w:tr>
        <w:tc>
          <w:tcPr>
            <w:tcW w:type="dxa" w:w="2016"/>
          </w:tcPr>
          <w:p>
            <w:r>
              <w:t>F-01</w:t>
            </w:r>
          </w:p>
        </w:tc>
        <w:tc>
          <w:tcPr>
            <w:tcW w:type="dxa" w:w="2016"/>
          </w:tcPr>
          <w:p>
            <w:r>
              <w:t>NFS export overly permissive</w:t>
            </w:r>
          </w:p>
        </w:tc>
        <w:tc>
          <w:tcPr>
            <w:tcW w:type="dxa" w:w="2016"/>
          </w:tcPr>
          <w:p>
            <w:r>
              <w:t>High</w:t>
            </w:r>
          </w:p>
        </w:tc>
        <w:tc>
          <w:tcPr>
            <w:tcW w:type="dxa" w:w="2016"/>
          </w:tcPr>
          <w:p>
            <w:r>
              <w:t>Export initially allowed unrestricted access with rw and no_root_squash.</w:t>
            </w:r>
          </w:p>
        </w:tc>
        <w:tc>
          <w:tcPr>
            <w:tcW w:type="dxa" w:w="2016"/>
          </w:tcPr>
          <w:p>
            <w:r>
              <w:t>Restricted export, ro access and root_squash.</w:t>
            </w:r>
          </w:p>
        </w:tc>
      </w:tr>
      <w:tr>
        <w:tc>
          <w:tcPr>
            <w:tcW w:type="dxa" w:w="2016"/>
          </w:tcPr>
          <w:p>
            <w:r>
              <w:t>F-02</w:t>
            </w:r>
          </w:p>
        </w:tc>
        <w:tc>
          <w:tcPr>
            <w:tcW w:type="dxa" w:w="2016"/>
          </w:tcPr>
          <w:p>
            <w:r>
              <w:t>Centralized SIEM capability established</w:t>
            </w:r>
          </w:p>
        </w:tc>
        <w:tc>
          <w:tcPr>
            <w:tcW w:type="dxa" w:w="2016"/>
          </w:tcPr>
          <w:p>
            <w:r>
              <w:t>Informational</w:t>
            </w:r>
          </w:p>
        </w:tc>
        <w:tc>
          <w:tcPr>
            <w:tcW w:type="dxa" w:w="2016"/>
          </w:tcPr>
          <w:p>
            <w:r>
              <w:t>Elastic Stack collected and indexed system events and supported search/correlation.</w:t>
            </w:r>
          </w:p>
        </w:tc>
        <w:tc>
          <w:tcPr>
            <w:tcW w:type="dxa" w:w="2016"/>
          </w:tcPr>
          <w:p>
            <w:r>
              <w:t>Maintain log coverage and correlation rules.</w:t>
            </w:r>
          </w:p>
        </w:tc>
      </w:tr>
      <w:tr>
        <w:tc>
          <w:tcPr>
            <w:tcW w:type="dxa" w:w="2016"/>
          </w:tcPr>
          <w:p>
            <w:r>
              <w:t>F-03</w:t>
            </w:r>
          </w:p>
        </w:tc>
        <w:tc>
          <w:tcPr>
            <w:tcW w:type="dxa" w:w="2016"/>
          </w:tcPr>
          <w:p>
            <w:r>
              <w:t>AI prompt-injection exposure</w:t>
            </w:r>
          </w:p>
        </w:tc>
        <w:tc>
          <w:tcPr>
            <w:tcW w:type="dxa" w:w="2016"/>
          </w:tcPr>
          <w:p>
            <w:r>
              <w:t>High (scenario)</w:t>
            </w:r>
          </w:p>
        </w:tc>
        <w:tc>
          <w:tcPr>
            <w:tcW w:type="dxa" w:w="2016"/>
          </w:tcPr>
          <w:p>
            <w:r>
              <w:t>Untrusted content can attempt to influence agent instructions.</w:t>
            </w:r>
          </w:p>
        </w:tc>
        <w:tc>
          <w:tcPr>
            <w:tcW w:type="dxa" w:w="2016"/>
          </w:tcPr>
          <w:p>
            <w:r>
              <w:t>Instruction isolation, validation, least privilege and human approval.</w:t>
            </w:r>
          </w:p>
        </w:tc>
      </w:tr>
      <w:tr>
        <w:tc>
          <w:tcPr>
            <w:tcW w:type="dxa" w:w="2016"/>
          </w:tcPr>
          <w:p>
            <w:r>
              <w:t>F-04</w:t>
            </w:r>
          </w:p>
        </w:tc>
        <w:tc>
          <w:tcPr>
            <w:tcW w:type="dxa" w:w="2016"/>
          </w:tcPr>
          <w:p>
            <w:r>
              <w:t>AI excessive agency/supply-chain risk</w:t>
            </w:r>
          </w:p>
        </w:tc>
        <w:tc>
          <w:tcPr>
            <w:tcW w:type="dxa" w:w="2016"/>
          </w:tcPr>
          <w:p>
            <w:r>
              <w:t>High (scenario)</w:t>
            </w:r>
          </w:p>
        </w:tc>
        <w:tc>
          <w:tcPr>
            <w:tcW w:type="dxa" w:w="2016"/>
          </w:tcPr>
          <w:p>
            <w:r>
              <w:t>Connected tools/components can expand the attack surface.</w:t>
            </w:r>
          </w:p>
        </w:tc>
        <w:tc>
          <w:tcPr>
            <w:tcW w:type="dxa" w:w="2016"/>
          </w:tcPr>
          <w:p>
            <w:r>
              <w:t>Tool allowlists, provenance, integrity checks and controlled updates.</w:t>
            </w:r>
          </w:p>
        </w:tc>
      </w:tr>
    </w:tbl>
    <w:p>
      <w:pPr>
        <w:pStyle w:val="Heading2"/>
      </w:pPr>
      <w:r>
        <w:t>10.2 Limitations</w:t>
      </w:r>
    </w:p>
    <w:p>
      <w:pPr>
        <w:pStyle w:val="ListBullet"/>
      </w:pPr>
      <w:r>
        <w:t>The Elastic SIEM was a lightweight laboratory implementation rather than a full Security Onion or Splunk deployment.</w:t>
      </w:r>
    </w:p>
    <w:p>
      <w:pPr>
        <w:pStyle w:val="ListBullet"/>
      </w:pPr>
      <w:r>
        <w:t>The controlled SIEM correlation event demonstrates correlation capability; it is not direct evidence that the NFS incident was detected by the SIEM.</w:t>
      </w:r>
    </w:p>
    <w:p>
      <w:pPr>
        <w:pStyle w:val="ListBullet"/>
      </w:pPr>
      <w:r>
        <w:t>The NFS activity was an authorized laboratory investigation and was limited to controlled read-only validation.</w:t>
      </w:r>
    </w:p>
    <w:p>
      <w:pPr>
        <w:pStyle w:val="ListBullet"/>
      </w:pPr>
      <w:r>
        <w:t>The AI assessment is a controlled case study and does not represent a real compromise.</w:t>
      </w:r>
    </w:p>
    <w:p>
      <w:pPr>
        <w:pStyle w:val="ListBullet"/>
      </w:pPr>
      <w:r>
        <w:t>Formal organizational authorization, enterprise-wide risk acceptance and production deployment decisions were outside scope.</w:t>
      </w:r>
    </w:p>
    <w:p>
      <w:pPr>
        <w:pStyle w:val="Heading1"/>
      </w:pPr>
      <w:r>
        <w:t>11. Conclusion</w:t>
      </w:r>
    </w:p>
    <w:p>
      <w:r>
        <w:t>The BINCOM 4th Contact Assignment practical work established a coherent security workflow across monitoring, incident response, risk management and AI security. A lightweight Elastic SIEM was configured and validated; an exposed NFS service was investigated and remediated; the incident was mapped to NIST and MITRE ATT&amp;CK; the risk was documented and treated using NIST RMF and practical ISO 31000 concepts; and a controlled AI-security assessment was developed covering agent security, AI risks, prompt injection and AI incident-response integration.</w:t>
      </w:r>
    </w:p>
    <w:p>
      <w:r>
        <w:t>The strongest practical outcome is the linkage between technical controls and governance: technical evidence was used to identify a security condition, assess risk, apply treatment, verify the result, and document the process for subsequent monitoring and improvement.</w:t>
      </w:r>
    </w:p>
    <w:p>
      <w:pPr>
        <w:pStyle w:val="Heading1"/>
      </w:pPr>
      <w:r>
        <w:t>12. Evidence Allocation</w:t>
      </w:r>
    </w:p>
    <w:p>
      <w:r>
        <w:t>Only high-value evidence is included in the main body. Supporting screenshots generated during troubleshooting and intermediate configuration steps are retained separately and can be supplied as an evidence appendix if required.</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color w:val="FFFFFF"/>
              </w:rPr>
              <w:t>Section</w:t>
            </w:r>
          </w:p>
        </w:tc>
        <w:tc>
          <w:tcPr>
            <w:tcW w:type="dxa" w:w="3360"/>
            <w:shd w:fill="1F4E78"/>
          </w:tcPr>
          <w:p>
            <w:r>
              <w:rPr>
                <w:b/>
                <w:color w:val="FFFFFF"/>
              </w:rPr>
              <w:t>Figures</w:t>
            </w:r>
          </w:p>
        </w:tc>
        <w:tc>
          <w:tcPr>
            <w:tcW w:type="dxa" w:w="3360"/>
            <w:shd w:fill="1F4E78"/>
          </w:tcPr>
          <w:p>
            <w:r>
              <w:rPr>
                <w:b/>
                <w:color w:val="FFFFFF"/>
              </w:rPr>
              <w:t>Purpose</w:t>
            </w:r>
          </w:p>
        </w:tc>
      </w:tr>
      <w:tr>
        <w:tc>
          <w:tcPr>
            <w:tcW w:type="dxa" w:w="3360"/>
          </w:tcPr>
          <w:p>
            <w:r>
              <w:t>SIEM</w:t>
            </w:r>
          </w:p>
        </w:tc>
        <w:tc>
          <w:tcPr>
            <w:tcW w:type="dxa" w:w="3360"/>
          </w:tcPr>
          <w:p>
            <w:r>
              <w:t>Figures 1–3</w:t>
            </w:r>
          </w:p>
        </w:tc>
        <w:tc>
          <w:tcPr>
            <w:tcW w:type="dxa" w:w="3360"/>
          </w:tcPr>
          <w:p>
            <w:r>
              <w:t>Operational validation, end-to-end ingestion, controlled correlation</w:t>
            </w:r>
          </w:p>
        </w:tc>
      </w:tr>
      <w:tr>
        <w:tc>
          <w:tcPr>
            <w:tcW w:type="dxa" w:w="3360"/>
          </w:tcPr>
          <w:p>
            <w:r>
              <w:t>NFS</w:t>
            </w:r>
          </w:p>
        </w:tc>
        <w:tc>
          <w:tcPr>
            <w:tcW w:type="dxa" w:w="3360"/>
          </w:tcPr>
          <w:p>
            <w:r>
              <w:t>Figures 4–8</w:t>
            </w:r>
          </w:p>
        </w:tc>
        <w:tc>
          <w:tcPr>
            <w:tcW w:type="dxa" w:w="3360"/>
          </w:tcPr>
          <w:p>
            <w:r>
              <w:t>Discovery, initial exposure, remediation and verification</w:t>
            </w:r>
          </w:p>
        </w:tc>
      </w:tr>
      <w:tr>
        <w:tc>
          <w:tcPr>
            <w:tcW w:type="dxa" w:w="3360"/>
          </w:tcPr>
          <w:p>
            <w:r>
              <w:t>Incident Response</w:t>
            </w:r>
          </w:p>
        </w:tc>
        <w:tc>
          <w:tcPr>
            <w:tcW w:type="dxa" w:w="3360"/>
          </w:tcPr>
          <w:p>
            <w:r>
              <w:t>Figures 9–11</w:t>
            </w:r>
          </w:p>
        </w:tc>
        <w:tc>
          <w:tcPr>
            <w:tcW w:type="dxa" w:w="3360"/>
          </w:tcPr>
          <w:p>
            <w:r>
              <w:t>Timeline, NIST mapping, MITRE mapping</w:t>
            </w:r>
          </w:p>
        </w:tc>
      </w:tr>
      <w:tr>
        <w:tc>
          <w:tcPr>
            <w:tcW w:type="dxa" w:w="3360"/>
          </w:tcPr>
          <w:p>
            <w:r>
              <w:t>Risk Management</w:t>
            </w:r>
          </w:p>
        </w:tc>
        <w:tc>
          <w:tcPr>
            <w:tcW w:type="dxa" w:w="3360"/>
          </w:tcPr>
          <w:p>
            <w:r>
              <w:t>Figures 12–14</w:t>
            </w:r>
          </w:p>
        </w:tc>
        <w:tc>
          <w:tcPr>
            <w:tcW w:type="dxa" w:w="3360"/>
          </w:tcPr>
          <w:p>
            <w:r>
              <w:t>Risk register, treatment plan, ISO mapping</w:t>
            </w:r>
          </w:p>
        </w:tc>
      </w:tr>
      <w:tr>
        <w:tc>
          <w:tcPr>
            <w:tcW w:type="dxa" w:w="3360"/>
          </w:tcPr>
          <w:p>
            <w:r>
              <w:t>AI Security</w:t>
            </w:r>
          </w:p>
        </w:tc>
        <w:tc>
          <w:tcPr>
            <w:tcW w:type="dxa" w:w="3360"/>
          </w:tcPr>
          <w:p>
            <w:r>
              <w:t>Figures 15–20</w:t>
            </w:r>
          </w:p>
        </w:tc>
        <w:tc>
          <w:tcPr>
            <w:tcW w:type="dxa" w:w="3360"/>
          </w:tcPr>
          <w:p>
            <w:r>
              <w:t>Scope, risk register, prompt injection, mitigation, IR integration, summary</w:t>
            </w:r>
          </w:p>
        </w:tc>
      </w:tr>
    </w:tbl>
    <w:p>
      <w:pPr>
        <w:pStyle w:val="Heading1"/>
      </w:pPr>
      <w:r>
        <w:t>13. References</w:t>
      </w:r>
    </w:p>
    <w:p>
      <w:pPr>
        <w:pStyle w:val="ListBullet"/>
      </w:pPr>
      <w:r>
        <w:t>BINCOM Assignment Report Guidelines, provided source, September 2026.</w:t>
      </w:r>
    </w:p>
    <w:p>
      <w:pPr>
        <w:pStyle w:val="ListBullet"/>
      </w:pPr>
      <w:r>
        <w:t>NIST, SP 800-61 Rev. 3, Incident Response Recommendations and Considerations for Cybersecurity Risk Management: A CSF 2.0 Community Profile, April 2025.</w:t>
      </w:r>
    </w:p>
    <w:p>
      <w:pPr>
        <w:pStyle w:val="ListBullet"/>
      </w:pPr>
      <w:r>
        <w:t>NIST, Artificial Intelligence Risk Management Framework: Generative Artificial Intelligence Profile (NIST AI 600-1), July 2024.</w:t>
      </w:r>
    </w:p>
    <w:p>
      <w:pPr>
        <w:pStyle w:val="ListBullet"/>
      </w:pPr>
      <w:r>
        <w:t>MITRE ATT&amp;CK, T1046 — Network Service Discovery.</w:t>
      </w:r>
    </w:p>
    <w:p>
      <w:pPr>
        <w:pStyle w:val="ListBullet"/>
      </w:pPr>
      <w:r>
        <w:t>MITRE ATT&amp;CK, T1135 — Network Share Discovery.</w:t>
      </w:r>
    </w:p>
    <w:p>
      <w:pPr>
        <w:pStyle w:val="ListBullet"/>
      </w:pPr>
      <w:r>
        <w:t>MITRE ATT&amp;CK, Enterprise Discovery tactic and associated detection strategies.</w:t>
      </w:r>
    </w:p>
    <w:p>
      <w:r>
        <w:t>Source note: Framework descriptions were checked against current official NIST and MITRE pages during report assembly. The assignment-specific structure and required topics were taken from the uploaded BINCOM guideline.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Oyewumi Yusuf Olayemi  •  September 2026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BINCOM 4TH CONTACT ASSIGNMENT  •  CYBERSECURITY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