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 çeşitleri [değiştir | kaynağı değiştir ]</w:t>
      </w:r>
    </w:p>
    <w:p>
      <w:r>
        <w:t>Goroldo~ caç ayarak. uzma1 açma'a doğ-J kadc~clo~dirilebilen farklı __I.4. programları bulunmaktadır.  Yeni programlar en çok</w:t>
      </w:r>
    </w:p>
    <w:p>
      <w:r>
        <w:t>rağbet görenlerdir: Bankacılık ve Fnansman Hukuku; Ceniz Hukukı= Vergi Huk_ku; Rekabet Hukuku bunlara örnek gösterilebilir.</w:t>
      </w:r>
    </w:p>
    <w:p>
      <w:r>
        <w:t>Iordra'da&lt; |Iniver:'fy</w:t>
      </w:r>
    </w:p>
    <w:p>
      <w:r>
        <w:t>dallar kapsamında görülmüstür . Yakın tarihlerde ise, cesitli vakıf üniversitelerinde İnsan Hakları alanında yüksek lisans programları</w:t>
      </w:r>
    </w:p>
    <w:p>
      <w:r>
        <w:t>açılmıs ve bazı üniversitelerin LLM programları hukuk dışında lisans yapmıs öğrencileri de kabul edilmistir.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