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抗アミロイドβ抗体療法例におけるNPIアパシー・易怒性の推移と認知機能変化の検討</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Changes in apathy and irritability on the Neuropsychiatric Inventory and cognitive decline in patients treated with anti-amyloid-β antibody therapy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抗アミロイドβ抗体療法中の易怒性や意欲低下は臨床上問題となるが，主観的聴取による評価は再現性に乏しい．本研究ではNeuropsychiatric Inventory（NPI）第7項目（アパシー・無関心）と第9項目（易怒性）の有無を客観的指標とし，その推移と認知機能変化との関連を後方視的に検討した．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対象は当院で抗アミロイドβ抗体療法を行ったレカネマブ66例・ドナネマブ30例の計96例．NPI原票がベースラインと追跡時の両時点で確認できた症例を抽出した．NPIの時点表記は原資料と一致しない例が多いため，評価日を基準にMMSEとCDR-SBの最も近い時点を対応させた．ΔMMSE（正が改善）とΔCDR-SB（正が悪化）を算出し，各項目で「あり→なし」を改善群，それ以外を非改善群としてMann-Whitney U検定で比較した．最終時点の症状の有無で分ける代替定義も併せて解析した．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NPI原票が対で確認できたのはレカネマブ14例・ドナネマブ6例で，ドナネマブ6例はいずれもMMSE・CDR-SBの追跡値が未入力のため，変化量を算出できたのはレカネマブ14例のみであった（追跡期間中央値11.9か月［6.2, 17.7］）．第7項目の推移はあり→なし1例，なし→なし7例，あり→あり3例，なし→あり3例，第9項目はあり→なし1例，なし→なし5例，あり→あり2例，なし→あり6例であった．第7項目の改善群1例はΔMMSE +3・ΔCDR-SB 0で，非改善群12例のΔMMSE中央値−0.5［−4, +3］・ΔCDR-SB中央値+0.75［0, +2.5］と比べ仮説と同方向であったが，有意差は示せなかった（p=0.308，p=0.462）．第9項目の改善群1例はΔMMSE 0・ΔCDR-SB +2.5と，非改善群13例のΔCDR-SB中央値+0.5［0, +2］より悪化していた．代替定義では両項目とも群間差を認めなかった．</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NPI第7・第9項目の有無は主観的評価より再現性の高い指標となりうるが，本コホートでは「あり→なし」と判定できたのが各項目1例のみで，アパシー改善例で認知機能低下が緩徐であるという仮説を統計学的に検証することはできなかった．アパシー改善例では認知機能の改善方向，易怒性改善例ではCDR-SBの悪化がみられ両項目で異なる傾向が示唆されたが，いずれも1例の観察で解釈には慎重を要する．ドナネマブ例ではNPIと同時期の認知機能評価が未入力であり，評価時点の統一とNPI原票の網羅的収集が今後の課題であ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著者・所属は前回抄録（神経学会 No.1000218）の並びをそのまま踏襲しています。本研究の実施体制に応じて追加・削除・順序変更が必要であればご指示ください。</w:t>
      </w:r>
    </w:p>
    <w:p>
      <w:pPr>
        <w:spacing w:after="100"/>
        <w:ind w:left="340" w:hanging="340"/>
        <w:jc w:val="both"/>
      </w:pPr>
      <w:r>
        <w:rPr>
          <w:rFonts w:ascii="Century" w:eastAsia="ＭＳ 明朝" w:hAnsi="Century"/>
          <w:color w:val="444444"/>
          <w:sz w:val="19"/>
          <w:szCs w:val="19"/>
        </w:rPr>
        <w:t xml:space="preserve">2.　「計96例」はレカネマブ66例とドナネマブ30例の合計です。NPIシートにのみ存在しMMSE/CDRのデータがない研究番号1件は母数から除外しました。実際の登録症例数と一致するかご確認ください。</w:t>
      </w:r>
    </w:p>
    <w:p>
      <w:pPr>
        <w:spacing w:after="100"/>
        <w:ind w:left="340" w:hanging="340"/>
        <w:jc w:val="both"/>
      </w:pPr>
      <w:r>
        <w:rPr>
          <w:rFonts w:ascii="Century" w:eastAsia="ＭＳ 明朝" w:hAnsi="Century"/>
          <w:color w:val="444444"/>
          <w:sz w:val="19"/>
          <w:szCs w:val="19"/>
        </w:rPr>
        <w:t xml:space="preserve">3.　結果の数値はすべて「確定判定のみ」の主解析に基づきます。アパシーのベースラインが「判定保留」であった1例（症例明細表を参照）を、確認事項欄の記載（得点=1）に基づき「あり」として扱うと、第7項目の改善群は2例となり、ΔMMSE中央値 +1.5［0, +3］・ΔCDR-SB中央値 +1［0, +2］となります（p=0.352／p=1.000）。当該症例の原票を再確認のうえ、どちらを採用するかご判断ください。</w:t>
      </w:r>
    </w:p>
    <w:p>
      <w:pPr>
        <w:spacing w:after="100"/>
        <w:ind w:left="340" w:hanging="340"/>
        <w:jc w:val="both"/>
      </w:pPr>
      <w:r>
        <w:rPr>
          <w:rFonts w:ascii="Century" w:eastAsia="ＭＳ 明朝" w:hAnsi="Century"/>
          <w:color w:val="444444"/>
          <w:sz w:val="19"/>
          <w:szCs w:val="19"/>
        </w:rPr>
        <w:t xml:space="preserve">4.　ドナネマブの記載について、「未入力」とするか「未実施」とするかは原資料の確認が必要です。現データからは区別できないため、現行案では「未入力」としています。</w:t>
      </w:r>
    </w:p>
    <w:p>
      <w:pPr>
        <w:spacing w:after="100"/>
        <w:ind w:left="340" w:hanging="340"/>
        <w:jc w:val="both"/>
      </w:pPr>
      <w:r>
        <w:rPr>
          <w:rFonts w:ascii="Century" w:eastAsia="ＭＳ 明朝" w:hAnsi="Century"/>
          <w:color w:val="444444"/>
          <w:sz w:val="19"/>
          <w:szCs w:val="19"/>
        </w:rPr>
        <w:t xml:space="preserve">5.　前回抄録にならい、本文中の症例数は算用数字・単位は「例」で統一しました。</w:t>
      </w:r>
    </w:p>
    <w:p>
      <w:pPr>
        <w:spacing w:after="100"/>
        <w:ind w:left="340" w:hanging="340"/>
        <w:jc w:val="both"/>
      </w:pPr>
      <w:r>
        <w:rPr>
          <w:rFonts w:ascii="Century" w:eastAsia="ＭＳ 明朝" w:hAnsi="Century"/>
          <w:color w:val="444444"/>
          <w:sz w:val="19"/>
          <w:szCs w:val="19"/>
        </w:rPr>
        <w:t xml:space="preserve">6.　本文（目的〜結論）は1,051字です（前回抄録は913字）。学会規定の字数制限に応じて短縮が必要な場合は、【方法】の時点対応付けに関する説明を圧縮するのが最小の情報損失となります。</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2026-09-18T08:33:17.076Z</dcterms:created>
  <dcterms:modified xsi:type="dcterms:W3CDTF">2026-09-18T08:33:17.076Z</dcterms:modified>
</cp:coreProperties>
</file>

<file path=docProps/custom.xml><?xml version="1.0" encoding="utf-8"?>
<Properties xmlns="http://schemas.openxmlformats.org/officeDocument/2006/custom-properties" xmlns:vt="http://schemas.openxmlformats.org/officeDocument/2006/docPropsVTypes"/>
</file>