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entury" w:eastAsia="ＭＳ ゴシック" w:hAnsi="Century"/>
          <w:b/>
          <w:bCs/>
          <w:sz w:val="26"/>
          <w:szCs w:val="26"/>
        </w:rPr>
        <w:t xml:space="preserve">学会抄録ドラフト</w:t>
      </w:r>
    </w:p>
    <w:p>
      <w:pPr>
        <w:keepNext/>
        <w:spacing w:after="60" w:before="0"/>
      </w:pPr>
      <w:r>
        <w:rPr>
          <w:rFonts w:ascii="Century" w:eastAsia="ＭＳ ゴシック" w:hAnsi="Century"/>
          <w:b/>
          <w:bCs/>
          <w:sz w:val="21"/>
          <w:szCs w:val="21"/>
        </w:rPr>
        <w:t xml:space="preserve">【利益相反（Conflict of Interest）の有無】</w:t>
      </w:r>
    </w:p>
    <w:p>
      <w:pPr>
        <w:spacing w:after="80" w:line="300" w:lineRule="auto"/>
        <w:jc w:val="both"/>
      </w:pPr>
      <w:r>
        <w:rPr>
          <w:rFonts w:ascii="Century" w:eastAsia="ＭＳ 明朝" w:hAnsi="Century"/>
          <w:sz w:val="21"/>
          <w:szCs w:val="21"/>
        </w:rPr>
        <w:t xml:space="preserve">ない</w:t>
      </w:r>
    </w:p>
    <w:p>
      <w:pPr>
        <w:keepNext/>
        <w:spacing w:after="60" w:before="200"/>
      </w:pPr>
      <w:r>
        <w:rPr>
          <w:rFonts w:ascii="Century" w:eastAsia="ＭＳ ゴシック" w:hAnsi="Century"/>
          <w:b/>
          <w:bCs/>
          <w:sz w:val="21"/>
          <w:szCs w:val="21"/>
        </w:rPr>
        <w:t xml:space="preserve">【演題名】</w:t>
      </w:r>
    </w:p>
    <w:p>
      <w:pPr>
        <w:spacing w:after="80" w:line="300" w:lineRule="auto"/>
        <w:jc w:val="both"/>
      </w:pPr>
      <w:r>
        <w:rPr>
          <w:rFonts w:ascii="Century" w:eastAsia="ＭＳ 明朝" w:hAnsi="Century"/>
          <w:sz w:val="21"/>
          <w:szCs w:val="21"/>
        </w:rPr>
        <w:t xml:space="preserve">抗アミロイドβ抗体療法中にNPI-Apathy scoreが低下した症例の認知機能の推移に関する探索的検討</w:t>
      </w:r>
    </w:p>
    <w:p>
      <w:pPr>
        <w:keepNext/>
        <w:spacing w:after="60" w:before="200"/>
      </w:pPr>
      <w:r>
        <w:rPr>
          <w:rFonts w:ascii="Century" w:eastAsia="ＭＳ ゴシック" w:hAnsi="Century"/>
          <w:b/>
          <w:bCs/>
          <w:sz w:val="21"/>
          <w:szCs w:val="21"/>
        </w:rPr>
        <w:t xml:space="preserve">【演題名(英文)】</w:t>
      </w:r>
    </w:p>
    <w:p>
      <w:pPr>
        <w:spacing w:after="80" w:line="300" w:lineRule="auto"/>
        <w:jc w:val="both"/>
      </w:pPr>
      <w:r>
        <w:rPr>
          <w:rFonts w:ascii="Century" w:eastAsia="ＭＳ 明朝" w:hAnsi="Century"/>
          <w:sz w:val="21"/>
          <w:szCs w:val="21"/>
        </w:rPr>
        <w:t xml:space="preserve">Cognitive trajectories in patients whose NPI apathy score decreased during anti-amyloid-beta antibody therapy: an exploratory study</w:t>
      </w:r>
    </w:p>
    <w:p>
      <w:pPr>
        <w:keepNext/>
        <w:spacing w:after="60" w:before="200"/>
      </w:pPr>
      <w:r>
        <w:rPr>
          <w:rFonts w:ascii="Century" w:eastAsia="ＭＳ ゴシック" w:hAnsi="Century"/>
          <w:b/>
          <w:bCs/>
          <w:sz w:val="21"/>
          <w:szCs w:val="21"/>
        </w:rPr>
        <w:t xml:space="preserve">【著者】</w:t>
      </w:r>
    </w:p>
    <w:p>
      <w:pPr>
        <w:spacing w:after="80" w:line="300" w:lineRule="auto"/>
        <w:jc w:val="both"/>
      </w:pPr>
      <w:r>
        <w:rPr>
          <w:rFonts w:ascii="Century" w:eastAsia="ＭＳ 明朝" w:hAnsi="Century"/>
          <w:sz w:val="21"/>
          <w:szCs w:val="21"/>
        </w:rPr>
        <w:t xml:space="preserve">堀内 裕介</w:t>
      </w:r>
      <w:r>
        <w:rPr>
          <w:rFonts w:ascii="Century" w:eastAsia="ＭＳ 明朝" w:hAnsi="Century"/>
          <w:sz w:val="21"/>
          <w:szCs w:val="21"/>
          <w:vertAlign w:val="superscript"/>
        </w:rPr>
        <w:t xml:space="preserve">1</w:t>
      </w:r>
      <w:r>
        <w:rPr>
          <w:rFonts w:ascii="Century" w:eastAsia="ＭＳ 明朝" w:hAnsi="Century"/>
          <w:sz w:val="21"/>
          <w:szCs w:val="21"/>
        </w:rPr>
        <w:t xml:space="preserve">，遠藤 芳徳</w:t>
      </w:r>
      <w:r>
        <w:rPr>
          <w:rFonts w:ascii="Century" w:eastAsia="ＭＳ 明朝" w:hAnsi="Century"/>
          <w:sz w:val="21"/>
          <w:szCs w:val="21"/>
          <w:vertAlign w:val="superscript"/>
        </w:rPr>
        <w:t xml:space="preserve">1</w:t>
      </w:r>
      <w:r>
        <w:rPr>
          <w:rFonts w:ascii="Century" w:eastAsia="ＭＳ 明朝" w:hAnsi="Century"/>
          <w:sz w:val="21"/>
          <w:szCs w:val="21"/>
        </w:rPr>
        <w:t xml:space="preserve">，高畠 靖志</w:t>
      </w:r>
      <w:r>
        <w:rPr>
          <w:rFonts w:ascii="Century" w:eastAsia="ＭＳ 明朝" w:hAnsi="Century"/>
          <w:sz w:val="21"/>
          <w:szCs w:val="21"/>
          <w:vertAlign w:val="superscript"/>
        </w:rPr>
        <w:t xml:space="preserve">2</w:t>
      </w:r>
      <w:r>
        <w:rPr>
          <w:rFonts w:ascii="Century" w:eastAsia="ＭＳ 明朝" w:hAnsi="Century"/>
          <w:sz w:val="21"/>
          <w:szCs w:val="21"/>
        </w:rPr>
        <w:t xml:space="preserve">，向井 裕修</w:t>
      </w:r>
      <w:r>
        <w:rPr>
          <w:rFonts w:ascii="Century" w:eastAsia="ＭＳ 明朝" w:hAnsi="Century"/>
          <w:sz w:val="21"/>
          <w:szCs w:val="21"/>
          <w:vertAlign w:val="superscript"/>
        </w:rPr>
        <w:t xml:space="preserve">2</w:t>
      </w:r>
      <w:r>
        <w:rPr>
          <w:rFonts w:ascii="Century" w:eastAsia="ＭＳ 明朝" w:hAnsi="Century"/>
          <w:sz w:val="21"/>
          <w:szCs w:val="21"/>
        </w:rPr>
        <w:t xml:space="preserve">，上野 亜佐子</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【著者(英文)】</w:t>
      </w:r>
    </w:p>
    <w:p>
      <w:pPr>
        <w:spacing w:after="80" w:line="300" w:lineRule="auto"/>
        <w:jc w:val="both"/>
      </w:pPr>
      <w:r>
        <w:rPr>
          <w:rFonts w:ascii="Century" w:eastAsia="ＭＳ 明朝" w:hAnsi="Century"/>
          <w:sz w:val="21"/>
          <w:szCs w:val="21"/>
        </w:rPr>
        <w:t xml:space="preserve">Yusuke Horiuchi</w:t>
      </w:r>
      <w:r>
        <w:rPr>
          <w:rFonts w:ascii="Century" w:eastAsia="ＭＳ 明朝" w:hAnsi="Century"/>
          <w:sz w:val="21"/>
          <w:szCs w:val="21"/>
          <w:vertAlign w:val="superscript"/>
        </w:rPr>
        <w:t xml:space="preserve">1</w:t>
      </w:r>
      <w:r>
        <w:rPr>
          <w:rFonts w:ascii="Century" w:eastAsia="ＭＳ 明朝" w:hAnsi="Century"/>
          <w:sz w:val="21"/>
          <w:szCs w:val="21"/>
        </w:rPr>
        <w:t xml:space="preserve">，Yoshinori Endo</w:t>
      </w:r>
      <w:r>
        <w:rPr>
          <w:rFonts w:ascii="Century" w:eastAsia="ＭＳ 明朝" w:hAnsi="Century"/>
          <w:sz w:val="21"/>
          <w:szCs w:val="21"/>
          <w:vertAlign w:val="superscript"/>
        </w:rPr>
        <w:t xml:space="preserve">1</w:t>
      </w:r>
      <w:r>
        <w:rPr>
          <w:rFonts w:ascii="Century" w:eastAsia="ＭＳ 明朝" w:hAnsi="Century"/>
          <w:sz w:val="21"/>
          <w:szCs w:val="21"/>
        </w:rPr>
        <w:t xml:space="preserve">，Yasushi Takabatake</w:t>
      </w:r>
      <w:r>
        <w:rPr>
          <w:rFonts w:ascii="Century" w:eastAsia="ＭＳ 明朝" w:hAnsi="Century"/>
          <w:sz w:val="21"/>
          <w:szCs w:val="21"/>
          <w:vertAlign w:val="superscript"/>
        </w:rPr>
        <w:t xml:space="preserve">2</w:t>
      </w:r>
      <w:r>
        <w:rPr>
          <w:rFonts w:ascii="Century" w:eastAsia="ＭＳ 明朝" w:hAnsi="Century"/>
          <w:sz w:val="21"/>
          <w:szCs w:val="21"/>
        </w:rPr>
        <w:t xml:space="preserve">，Hironobu Mukai</w:t>
      </w:r>
      <w:r>
        <w:rPr>
          <w:rFonts w:ascii="Century" w:eastAsia="ＭＳ 明朝" w:hAnsi="Century"/>
          <w:sz w:val="21"/>
          <w:szCs w:val="21"/>
          <w:vertAlign w:val="superscript"/>
        </w:rPr>
        <w:t xml:space="preserve">2</w:t>
      </w:r>
      <w:r>
        <w:rPr>
          <w:rFonts w:ascii="Century" w:eastAsia="ＭＳ 明朝" w:hAnsi="Century"/>
          <w:sz w:val="21"/>
          <w:szCs w:val="21"/>
        </w:rPr>
        <w:t xml:space="preserve">，Asako Ueno</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【所属】</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福井県済生会病院 脳神経内科，</w:t>
      </w:r>
      <w:r>
        <w:rPr>
          <w:rFonts w:ascii="Century" w:eastAsia="ＭＳ 明朝" w:hAnsi="Century"/>
          <w:sz w:val="21"/>
          <w:szCs w:val="21"/>
          <w:vertAlign w:val="superscript"/>
        </w:rPr>
        <w:t xml:space="preserve">2</w:t>
      </w:r>
      <w:r>
        <w:rPr>
          <w:rFonts w:ascii="Century" w:eastAsia="ＭＳ 明朝" w:hAnsi="Century"/>
          <w:sz w:val="21"/>
          <w:szCs w:val="21"/>
        </w:rPr>
        <w:t xml:space="preserve">福井県済生会病院 脳神経外科</w:t>
      </w:r>
    </w:p>
    <w:p>
      <w:pPr>
        <w:keepNext/>
        <w:spacing w:after="60" w:before="200"/>
      </w:pPr>
      <w:r>
        <w:rPr>
          <w:rFonts w:ascii="Century" w:eastAsia="ＭＳ ゴシック" w:hAnsi="Century"/>
          <w:b/>
          <w:bCs/>
          <w:sz w:val="21"/>
          <w:szCs w:val="21"/>
        </w:rPr>
        <w:t xml:space="preserve">【所属(英文)】</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Department of Neurology, Fukuiken Saiseikai Hospital, Japan，</w:t>
      </w:r>
      <w:r>
        <w:rPr>
          <w:rFonts w:ascii="Century" w:eastAsia="ＭＳ 明朝" w:hAnsi="Century"/>
          <w:sz w:val="21"/>
          <w:szCs w:val="21"/>
          <w:vertAlign w:val="superscript"/>
        </w:rPr>
        <w:t xml:space="preserve">2</w:t>
      </w:r>
      <w:r>
        <w:rPr>
          <w:rFonts w:ascii="Century" w:eastAsia="ＭＳ 明朝" w:hAnsi="Century"/>
          <w:sz w:val="21"/>
          <w:szCs w:val="21"/>
        </w:rPr>
        <w:t xml:space="preserve">Department of Neurosurgery, Fukuiken Saiseikai Hospital, Japan</w:t>
      </w:r>
    </w:p>
    <w:p>
      <w:pPr>
        <w:pBdr>
          <w:bottom w:val="single" w:color="999999" w:sz="6" w:space="1"/>
        </w:pBdr>
        <w:spacing w:after="160" w:before="160"/>
      </w:pPr>
    </w:p>
    <w:p>
      <w:pPr>
        <w:keepNext/>
        <w:spacing w:after="60" w:before="0"/>
      </w:pPr>
      <w:r>
        <w:rPr>
          <w:rFonts w:ascii="Century" w:eastAsia="ＭＳ ゴシック" w:hAnsi="Century"/>
          <w:b/>
          <w:bCs/>
          <w:sz w:val="21"/>
          <w:szCs w:val="21"/>
        </w:rPr>
        <w:t xml:space="preserve">【目的】</w:t>
      </w:r>
    </w:p>
    <w:p>
      <w:pPr>
        <w:spacing w:after="80" w:line="300" w:lineRule="auto"/>
        <w:jc w:val="both"/>
      </w:pPr>
      <w:r>
        <w:rPr>
          <w:rFonts w:ascii="Century" w:eastAsia="ＭＳ 明朝" w:hAnsi="Century"/>
          <w:sz w:val="21"/>
          <w:szCs w:val="21"/>
        </w:rPr>
        <w:t xml:space="preserve">アパシーはアルツハイマー病（AD）に高頻度に伴い，認知機能低下の予測因子となりうる．Neuropsychiatric Inventory（NPI）のアパシー項目は，介護者への聴取に基づき頻度と重症度の積を0〜12点として採点する．本研究では，抗アミロイドβ抗体療法中にNPI-Apathy scoreが低下した症例と低下しなかった症例の認知機能の推移を探索的に比較した．</w:t>
      </w:r>
    </w:p>
    <w:p>
      <w:pPr>
        <w:keepNext/>
        <w:spacing w:after="60" w:before="200"/>
      </w:pPr>
      <w:r>
        <w:rPr>
          <w:rFonts w:ascii="Century" w:eastAsia="ＭＳ ゴシック" w:hAnsi="Century"/>
          <w:b/>
          <w:bCs/>
          <w:sz w:val="21"/>
          <w:szCs w:val="21"/>
        </w:rPr>
        <w:t xml:space="preserve">【方法】</w:t>
      </w:r>
    </w:p>
    <w:p>
      <w:pPr>
        <w:spacing w:after="80" w:line="300" w:lineRule="auto"/>
        <w:jc w:val="both"/>
      </w:pPr>
      <w:r>
        <w:rPr>
          <w:rFonts w:ascii="Century" w:eastAsia="ＭＳ 明朝" w:hAnsi="Century"/>
          <w:sz w:val="21"/>
          <w:szCs w:val="21"/>
        </w:rPr>
        <w:t xml:space="preserve">対象は当院で2024年1月〜2026年7月に抗アミロイドβ抗体療法を行った96例．NPI-Apathy score（頻度×重症度，0〜12点）を初回と追跡時の両方で算出できた21例のうち，MMSEとCDRも追跡できた14例（全例レカネマブ）を解析対象とした．スコアが1点以上低下した例を「低下例」，それ以外を「非低下例」とし，MMSE・CDR-SBおよび各下位項目を比較した．群分けは既存データ確認後に設定したもので，非低下例には初回0点例を含むため治療反応性の比較ではない．認知機能はNPI追跡評価日に最も近い時点の値を用いた（6〜24か月）．例数が少ないため記述統計に留めた．</w:t>
      </w:r>
    </w:p>
    <w:p>
      <w:pPr>
        <w:keepNext/>
        <w:spacing w:after="60" w:before="200"/>
      </w:pPr>
      <w:r>
        <w:rPr>
          <w:rFonts w:ascii="Century" w:eastAsia="ＭＳ ゴシック" w:hAnsi="Century"/>
          <w:b/>
          <w:bCs/>
          <w:sz w:val="21"/>
          <w:szCs w:val="21"/>
        </w:rPr>
        <w:t xml:space="preserve">【結果】</w:t>
      </w:r>
    </w:p>
    <w:p>
      <w:pPr>
        <w:spacing w:after="80" w:line="300" w:lineRule="auto"/>
        <w:jc w:val="both"/>
      </w:pPr>
      <w:r>
        <w:rPr>
          <w:rFonts w:ascii="Century" w:eastAsia="ＭＳ 明朝" w:hAnsi="Century"/>
          <w:sz w:val="21"/>
          <w:szCs w:val="21"/>
        </w:rPr>
        <w:t xml:space="preserve">低下例は2/14例（14.3％），非低下例は12/14例（85.7％，うち初回0点10例）であった．非低下例は年齢74.8±4.6歳，女性58％，初回MMSE 24.9±2.0・CDR-SB 1.5±0.7・時間見当識4.2±1.0で，変化量はMMSE合計−0.5±1.9・CDR-SB ＋0.9±0.8・時間見当識−0.8±0.8であった．低下例はいずれも女性でスコアは1点から0点へ低下し，年齢78.0±4.2歳，初回MMSE 22.5±0.7・CDR-SB 1.8±0.4・時間見当識2.0±0.0で，変化量はMMSE合計＋1.5±2.1・CDR-SB ＋1.0±1.4・時間見当識＋1.5±0.7であった．初回→追跡時に，1例目（75歳）はMMSE 23→23点（時間見当識2→3，注意計算5→3，図形模写0→1），CDR-SB 2.0→4.0点で4領域が各0.5点悪化，2例目（81歳）はMMSE 22→25点（時間見当識2→4，場所見当識4→5，注意計算3→4，遅延再生1→0），CDR-SB 1.5→1.5点で6領域とも不変であった．時間見当識が改善したのは低下例2/2例，非低下例0/12例であった．2例とも易怒性が新規に出現した．</w:t>
      </w:r>
    </w:p>
    <w:p>
      <w:pPr>
        <w:keepNext/>
        <w:spacing w:after="60" w:before="200"/>
      </w:pPr>
      <w:r>
        <w:rPr>
          <w:rFonts w:ascii="Century" w:eastAsia="ＭＳ ゴシック" w:hAnsi="Century"/>
          <w:b/>
          <w:bCs/>
          <w:sz w:val="21"/>
          <w:szCs w:val="21"/>
        </w:rPr>
        <w:t xml:space="preserve">【結論】</w:t>
      </w:r>
    </w:p>
    <w:p>
      <w:pPr>
        <w:spacing w:after="80" w:line="300" w:lineRule="auto"/>
        <w:jc w:val="both"/>
      </w:pPr>
      <w:r>
        <w:rPr>
          <w:rFonts w:ascii="Century" w:eastAsia="ＭＳ 明朝" w:hAnsi="Century"/>
          <w:sz w:val="21"/>
          <w:szCs w:val="21"/>
        </w:rPr>
        <w:t xml:space="preserve">NPI-Apathy scoreが低下した2例では時間見当識がともに改善し，非低下例に改善例はなかった．ただし初回時間見当識は低下例2.0±0.0点，非低下例4.2±1.0点で，低下例には上昇の余地が大きく非低下例には天井効果があり，床効果や平均への回帰の影響を否定できない．観察期間も6〜24か月と幅がある．また低下例2例では時間見当識以外の下位項目の変化は一様でなく，群間比較も行っていないため，時間見当識に特異的な関連を示すものではない．全例が治療例であり薬剤の効果も論じられない．これらの限界はあるが，本所見はアパシーの改善と時間見当識の改善が関連して推移する可能性を示唆するものであり，今後，症例を蓄積して報告する．</w:t>
      </w:r>
    </w:p>
    <w:p>
      <w:r>
        <w:br w:type="page"/>
      </w:r>
    </w:p>
    <w:p>
      <w:pPr>
        <w:spacing w:after="200"/>
      </w:pPr>
      <w:r>
        <w:rPr>
          <w:rFonts w:ascii="Century" w:eastAsia="ＭＳ ゴシック" w:hAnsi="Century"/>
          <w:b/>
          <w:bCs/>
          <w:sz w:val="21"/>
          <w:szCs w:val="21"/>
        </w:rPr>
        <w:t xml:space="preserve">作成にあたっての確認事項（抄録本文には含めません。提出前にこのページを削除してください）</w:t>
      </w:r>
    </w:p>
    <w:p>
      <w:pPr>
        <w:spacing w:after="100"/>
        <w:ind w:left="340" w:hanging="340"/>
        <w:jc w:val="both"/>
      </w:pPr>
      <w:r>
        <w:rPr>
          <w:rFonts w:ascii="Century" w:eastAsia="ＭＳ 明朝" w:hAnsi="Century"/>
          <w:color w:val="444444"/>
          <w:sz w:val="19"/>
          <w:szCs w:val="19"/>
        </w:rPr>
        <w:t xml:space="preserve">1.　群分け（NPI-Apathy scoreが1点以上低下＝低下例、それ以外＝非低下例）は、既存データを確認したのちに設定したものです。研究開始前に規定した解析ではないため、本文でも「探索的に」と記載し、事前規定の主要評価項目という表現は用いていません。</w:t>
      </w:r>
    </w:p>
    <w:p>
      <w:pPr>
        <w:spacing w:after="100"/>
        <w:ind w:left="340" w:hanging="340"/>
        <w:jc w:val="both"/>
      </w:pPr>
      <w:r>
        <w:rPr>
          <w:rFonts w:ascii="Century" w:eastAsia="ＭＳ 明朝" w:hAnsi="Century"/>
          <w:color w:val="444444"/>
          <w:sz w:val="19"/>
          <w:szCs w:val="19"/>
        </w:rPr>
        <w:t xml:space="preserve">2.　観察期間は【方法】の「（6〜24か月）」に集約し、【結果】から評価時点の内訳を削りました。低下例・非低下例のいずれも評価時点の範囲は6〜24か月であり、この記載は両群について正確です。ただし内訳は異なります（低下例＝6か月・24か月が各1例、非低下例＝6か月4例・12か月3例・18か月4例・24か月1例）。内訳を本文に戻す場合は約60字増えます。変化量を観察期間で標準化していない点は【結論】に「観察期間も6〜24か月と幅がある」と記載しています。</w:t>
      </w:r>
    </w:p>
    <w:p>
      <w:pPr>
        <w:spacing w:after="100"/>
        <w:ind w:left="340" w:hanging="340"/>
        <w:jc w:val="both"/>
      </w:pPr>
      <w:r>
        <w:rPr>
          <w:rFonts w:ascii="Century" w:eastAsia="ＭＳ 明朝" w:hAnsi="Century"/>
          <w:color w:val="444444"/>
          <w:sz w:val="19"/>
          <w:szCs w:val="19"/>
        </w:rPr>
        <w:t xml:space="preserve">3.　個別2例の記載は「初回→追跡時」の対で示し、症例ごとの月数（24か月後・6か月後）は記載していません。【方法】の追跡時の定義に集約したためです。</w:t>
      </w:r>
    </w:p>
    <w:p>
      <w:pPr>
        <w:spacing w:after="100"/>
        <w:ind w:left="340" w:hanging="340"/>
        <w:jc w:val="both"/>
      </w:pPr>
      <w:r>
        <w:rPr>
          <w:rFonts w:ascii="Century" w:eastAsia="ＭＳ 明朝" w:hAnsi="Century"/>
          <w:color w:val="444444"/>
          <w:sz w:val="19"/>
          <w:szCs w:val="19"/>
        </w:rPr>
        <w:t xml:space="preserve">4.　時間見当識について。低下例2例はいずれも改善し、非低下例12例に改善例はありませんでした。ただし初回時間見当識は低下例2.0±0.0点、非低下例4.2±1.0点で、低下例のほうが上昇の余地が大きい状態から出発しています。他の下位項目に一様な変化がなかったことを根拠にせず、本文では時間見当識に特異的な関連があるという主張はしていません。</w:t>
      </w:r>
    </w:p>
    <w:p>
      <w:pPr>
        <w:spacing w:after="100"/>
        <w:ind w:left="340" w:hanging="340"/>
        <w:jc w:val="both"/>
      </w:pPr>
      <w:r>
        <w:rPr>
          <w:rFonts w:ascii="Century" w:eastAsia="ＭＳ 明朝" w:hAnsi="Century"/>
          <w:color w:val="444444"/>
          <w:sz w:val="19"/>
          <w:szCs w:val="19"/>
        </w:rPr>
        <w:t xml:space="preserve">5.　例数が少ないため統計学的検定は行わず、記述に留めました。参考までに解析ファイルには完全並べ替えによるp値を収載しています（初回時間見当識および時間見当識変化量でp=0.011）。ただし2例対12例では到達しうる最小の両側p値が0.011であり、この例数の分解能の限界にあたります。多重性の調整も行っていないため、確証的には解釈できません。</w:t>
      </w:r>
    </w:p>
    <w:p>
      <w:pPr>
        <w:spacing w:after="100"/>
        <w:ind w:left="340" w:hanging="340"/>
        <w:jc w:val="both"/>
      </w:pPr>
      <w:r>
        <w:rPr>
          <w:rFonts w:ascii="Century" w:eastAsia="ＭＳ 明朝" w:hAnsi="Century"/>
          <w:color w:val="444444"/>
          <w:sz w:val="19"/>
          <w:szCs w:val="19"/>
        </w:rPr>
        <w:t xml:space="preserve">6.　MMSEの点数について。解析用ファイル内部では、対象14例のすべての評価時点で合計点と下位項目の合計が一致することを確認しました（不一致0件）。本文に記載した下位項目の変化も、その総和が合計点の変化と一致します（1例目 ±0点、2例目 +3点）。旧稿では1例目の図形模写0→1と2例目の注意計算3→4が省略されていたため、総和が合計点と合いませんでした。値の訂正・補完は行っていません。</w:t>
      </w:r>
    </w:p>
    <w:p>
      <w:pPr>
        <w:spacing w:after="100"/>
        <w:ind w:left="340" w:hanging="340"/>
        <w:jc w:val="both"/>
      </w:pPr>
      <w:r>
        <w:rPr>
          <w:rFonts w:ascii="Century" w:eastAsia="ＭＳ 明朝" w:hAnsi="Century"/>
          <w:color w:val="444444"/>
          <w:sz w:val="19"/>
          <w:szCs w:val="19"/>
        </w:rPr>
        <w:t xml:space="preserve">7.　ただし添付PDFの原票そのものとの照合は、この作業環境では行えていません。上記はあくまで解析用ファイル内部の整合性です。提出前に原票との照合をお願いします。なお対象外ではL45（12か月、合計19に対し下位項目合計17）とD16（6か月、21に対し19）に不一致があります。</w:t>
      </w:r>
    </w:p>
    <w:p>
      <w:pPr>
        <w:spacing w:after="100"/>
        <w:ind w:left="340" w:hanging="340"/>
        <w:jc w:val="both"/>
      </w:pPr>
      <w:r>
        <w:rPr>
          <w:rFonts w:ascii="Century" w:eastAsia="ＭＳ 明朝" w:hAnsi="Century"/>
          <w:color w:val="444444"/>
          <w:sz w:val="19"/>
          <w:szCs w:val="19"/>
        </w:rPr>
        <w:t xml:space="preserve">8.　「非低下例の初回NPI-Apathy score 0点10例」は、旧稿では平均値からの推定値でしたが、元データを数え直して確定しました。非低下例12例の内訳は0点10例、1点1例、2点1例です。</w:t>
      </w:r>
    </w:p>
    <w:p>
      <w:pPr>
        <w:spacing w:after="100"/>
        <w:ind w:left="340" w:hanging="340"/>
        <w:jc w:val="both"/>
      </w:pPr>
      <w:r>
        <w:rPr>
          <w:rFonts w:ascii="Century" w:eastAsia="ＭＳ 明朝" w:hAnsi="Century"/>
          <w:color w:val="444444"/>
          <w:sz w:val="19"/>
          <w:szCs w:val="19"/>
        </w:rPr>
        <w:t xml:space="preserve">9.　NPIの説明は「介護者への聴取に基づき、頻度と重症度の積を0〜12点として採点する」としました。情報提供者からの聴取に基づく尺度であり、客観的指標とは呼べないためです。NPIの版（NPI-10/12、NPI-NH等）は元ファイルのいずれにも記載がないため、版は断定していません。また聴取者や聴取方法が期間を通じて一定であったかを確認できる項目がファイルにないため、この点も記載していません。</w:t>
      </w:r>
    </w:p>
    <w:p>
      <w:pPr>
        <w:spacing w:after="100"/>
        <w:ind w:left="340" w:hanging="340"/>
        <w:jc w:val="both"/>
      </w:pPr>
      <w:r>
        <w:rPr>
          <w:rFonts w:ascii="Century" w:eastAsia="ＭＳ 明朝" w:hAnsi="Century"/>
          <w:color w:val="444444"/>
          <w:sz w:val="19"/>
          <w:szCs w:val="19"/>
        </w:rPr>
        <w:t xml:space="preserve">10.　対象期間「2024年1月〜2026年7月」は旧稿から引き継いだ記載です。患者背景ファイルに投与開始日が記録されているのは97件中63件で、その範囲は2024年1月13日〜2026年2月18日でした。2026年7月までという期間はこのファイルからは確認できないため、ご確認をお願いします。「96例」はNPIシートにのみ存在するL69を除いた66＋30で、こちらは一致しています。</w:t>
      </w:r>
    </w:p>
    <w:p>
      <w:pPr>
        <w:spacing w:after="100"/>
        <w:ind w:left="340" w:hanging="340"/>
        <w:jc w:val="both"/>
      </w:pPr>
      <w:r>
        <w:rPr>
          <w:rFonts w:ascii="Century" w:eastAsia="ＭＳ 明朝" w:hAnsi="Century"/>
          <w:color w:val="444444"/>
          <w:sz w:val="19"/>
          <w:szCs w:val="19"/>
        </w:rPr>
        <w:t xml:space="preserve">11.　研究デザイン、倫理審査番号、同意取得の方法は、データから確認できないため記載していません。投稿規定で必要であれば追記が必要です。</w:t>
      </w:r>
    </w:p>
    <w:p>
      <w:pPr>
        <w:spacing w:after="100"/>
        <w:ind w:left="340" w:hanging="340"/>
        <w:jc w:val="both"/>
      </w:pPr>
      <w:r>
        <w:rPr>
          <w:rFonts w:ascii="Century" w:eastAsia="ＭＳ 明朝" w:hAnsi="Century"/>
          <w:color w:val="444444"/>
          <w:sz w:val="19"/>
          <w:szCs w:val="19"/>
        </w:rPr>
        <w:t xml:space="preserve">12.　全例が治療例であり非治療対照がないため、薬剤の効果は論じられません。本文にもその旨を記載しています。</w:t>
      </w:r>
    </w:p>
    <w:p>
      <w:pPr>
        <w:spacing w:after="100"/>
        <w:ind w:left="340" w:hanging="340"/>
        <w:jc w:val="both"/>
      </w:pPr>
      <w:r>
        <w:rPr>
          <w:rFonts w:ascii="Century" w:eastAsia="ＭＳ 明朝" w:hAnsi="Century"/>
          <w:color w:val="444444"/>
          <w:sz w:val="19"/>
          <w:szCs w:val="19"/>
        </w:rPr>
        <w:t xml:space="preserve">13.　これは短縮版で、本文は1,312字です（通常版1,458字、前回提出抄録913字）。通常版から、NPI-Apathy scoreの平均±標準偏差、低下例1例目のCDR下位4領域の名称、【目的】【方法】の重複表現を削っています。数値の内容は通常版と同一で、解析結果との突き合わせでも不一致はありません。</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2026-09-20T11:16:22.031Z</dcterms:created>
  <dcterms:modified xsi:type="dcterms:W3CDTF">2026-09-20T11:16:22.031Z</dcterms:modified>
</cp:coreProperties>
</file>

<file path=docProps/custom.xml><?xml version="1.0" encoding="utf-8"?>
<Properties xmlns="http://schemas.openxmlformats.org/officeDocument/2006/custom-properties" xmlns:vt="http://schemas.openxmlformats.org/officeDocument/2006/docPropsVTypes"/>
</file>