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抗アミロイドβ抗体療法中にNPI-Apathy scoreが低下した症例の認知機能の推移に関する検討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Cognitive trajectories in patients showing a decrease in the NPI apathy score during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アパシーはアルツハイマー病（AD）に高頻度に伴い認知機能低下の予測因子となりうるが，主観的な評価は再現性に乏しい．本研究ではNeuropsychiatric Inventory（NPI）-Apathy scoreを客観的指標とし，抗アミロイドβ抗体療法中にスコアが低下した例の認知機能の推移を検討した．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2024年1月〜2026年7月までに抗アミロイドβ抗体療法を行った96例．NPI-Apathyscore（頻度×重症度，0〜12点）が初回と追跡時の両方で算出できた21例のうち，MMSE・CDRの追跡も可能であった14例（全例レカネマブ）を解析対象とした．スコアが1点以上低下した例をアパシー改善群とし，非改善群と患者背景および認知機能を比較した．認知機能はNPI追跡評価日に最も近い時点の値を用いた（6〜24か月）．統計解析はMann-Whitney U検定およびFisherの正確確率検定を用いた．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非改善群は12/14例（85.7％）で，年齢74.8±4.6歳，女性58％，NPI-Apathy score 初回0.25±0.62・追跡時0.83±1.19，初回MMSE 24.9±2.0・CDR-SB 1.5±0.7・時間見当識4.2±1.0，追跡時MMSE 24.4±2.3・CDR-SB 2.5±1.1であった．改善群は2/14例（14.3％）で，年齢78.0±4.2歳（p=0.55），女性100％（p=0.51），NPI-Apathy score 初回1.00±0.00（p=0.13）・追跡時0.00±0.00（p=0.44），初回MMSE 22.5±0.7（p=0.13）・CDR-SB 1.8±0.4（p=0.79），追跡時MMSE 24.0±1.4（p=0.92）・CDR-SB 2.8±1.8（p=1.00）と差を認めなかったが，初回の時間見当識は2.0±0.0と低値であった（p=0.02）．時間見当識の変化量は非改善群−0.8±0.8点，改善群+1.5±0.7点で（p=0.02），14例中で改善を示したのは改善群の2例のみであった（p=0.01）．改善2例はいずれも易怒性が新規出現してい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抗アミロイドβ抗体療法中にNPI-Apathy scoreが低下した2例では，年齢・性別やMMSE合計・CDR-SBの推移に非改善群との差を認めず，初回値の低値も追跡時の改善もMMSE時間見当識に限られた．治療前のアパシーとその改善は，全般的な認知機能よりも時間見当識という特定の下位項目と関連する可能性がある．ただし改善群は初回の時間見当識が低く，平均への回帰による見かけ上の改善の可能性も否定できない．2例とも易怒性が新規出現しており，NPIの項目ごとに推移は異なりうる．症例数が限られており慎重な解釈を要するが，今後の症例蓄積が望まれ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最重要】これまでの抄録は「18か月後」のデータではありません。「追跡時」は最終利用可能時点であり、6か月5例（L57・L58・L59・L60・L61）、12か月3例（L40・L41・L42）、18か月4例（L3・L24・L26・L27）、24か月2例（L2・L4）と症例により異なっていました。18か月のMMSE・CDRが両方そろうのは14例中6例のみで、アパシー改善群2例のうち18か月データがあるのはL4の1例だけです（L59は6か月まで）。18か月に固定すると改善群1例・非改善群5例となり解析が成立しません。本案では方法に「認知機能はNPI追跡評価日に最も近い時点の値を用いた（6〜24か月）」と明記しました。</w:t>
      </w:r>
    </w:p>
    <w:p>
      <w:pPr>
        <w:spacing w:after="100"/>
        <w:ind w:left="340" w:hanging="340"/>
        <w:jc w:val="both"/>
      </w:pPr>
      <w:r>
        <w:rPr>
          <w:rFonts w:ascii="Century" w:eastAsia="ＭＳ 明朝" w:hAnsi="Century"/>
          <w:color w:val="444444"/>
          <w:sz w:val="19"/>
          <w:szCs w:val="19"/>
        </w:rPr>
        <w:t xml:space="preserve">2.　NPIの「18か月」という時点ラベル自体も原資料と一致していません。原資料の時点は12か月5例、18か月4例、24か月3例、30か月2例、記載なし1例に分布します。「18か月後のNPI」と書くこともできないため、本案では「追跡時」としています。</w:t>
      </w:r>
    </w:p>
    <w:p>
      <w:pPr>
        <w:spacing w:after="100"/>
        <w:ind w:left="340" w:hanging="340"/>
        <w:jc w:val="both"/>
      </w:pPr>
      <w:r>
        <w:rPr>
          <w:rFonts w:ascii="Century" w:eastAsia="ＭＳ 明朝" w:hAnsi="Century"/>
          <w:color w:val="444444"/>
          <w:sz w:val="19"/>
          <w:szCs w:val="19"/>
        </w:rPr>
        <w:t xml:space="preserve">3.　全例を同一時点でそろえたい場合は「6か月後」が唯一の選択肢です（6か月14/14例、12か月9/14例、18か月6/14例、24か月2/14例）。6か月版ではΔMMSE合計が非改善群−0.5±2.1に対し改善群+2.5±0.7（p=0.088）、Δ時間見当識が−0.8±0.7に対し+1.5±0.7（p=0.022）、時間見当識が改善したのが0/12例対2/2例（p=0.011）と、本案より明瞭になります。ただしNPIの評価間隔は平均16.4±8.4か月であり、6か月時点の認知機能を比較するとアパシーが改善した時期より前の認知機能を見ることになり、時間的な前後関係が逆転します。ご指示いただければ6か月版も作成します。</w:t>
      </w:r>
    </w:p>
    <w:p>
      <w:pPr>
        <w:spacing w:after="100"/>
        <w:ind w:left="340" w:hanging="340"/>
        <w:jc w:val="both"/>
      </w:pPr>
      <w:r>
        <w:rPr>
          <w:rFonts w:ascii="Century" w:eastAsia="ＭＳ 明朝" w:hAnsi="Century"/>
          <w:color w:val="444444"/>
          <w:sz w:val="19"/>
          <w:szCs w:val="19"/>
        </w:rPr>
        <w:t xml:space="preserve">4.　アパシー改善の定義をスコアに変更した影響。改善群はL4とL59の2例です。重要な点として、今回いただいたv19ではL4のベースラインの有無欄が「あり」から「判定保留」に戻されています。そのため従来の「有無が あり→なし」という定義では改善群はL59の1例のみとなり、2例での比較が成立しません。今回のスコアによる定義によってのみL4を確定的に改善群へ分類できます。結果の数値は前案（抄録D）と同一ですが、根拠がスコアに置き換わったことで判定保留をめぐる論点が解消しました。</w:t>
      </w:r>
    </w:p>
    <w:p>
      <w:pPr>
        <w:spacing w:after="100"/>
        <w:ind w:left="340" w:hanging="340"/>
        <w:jc w:val="both"/>
      </w:pPr>
      <w:r>
        <w:rPr>
          <w:rFonts w:ascii="Century" w:eastAsia="ＭＳ 明朝" w:hAnsi="Century"/>
          <w:color w:val="444444"/>
          <w:sz w:val="19"/>
          <w:szCs w:val="19"/>
        </w:rPr>
        <w:t xml:space="preserve">5.　追跡時のスコア0は、有無欄が「なし」であることに基づく研究上の記録ルールによる値で、原資料の頻度・重症度欄は空欄です（L4・L59とも確認事項に明記あり）。原資料に0点と記載されているわけではない点は質疑で問われる可能性があります。</w:t>
      </w:r>
    </w:p>
    <w:p>
      <w:pPr>
        <w:spacing w:after="100"/>
        <w:ind w:left="340" w:hanging="340"/>
        <w:jc w:val="both"/>
      </w:pPr>
      <w:r>
        <w:rPr>
          <w:rFonts w:ascii="Century" w:eastAsia="ＭＳ 明朝" w:hAnsi="Century"/>
          <w:color w:val="444444"/>
          <w:sz w:val="19"/>
          <w:szCs w:val="19"/>
        </w:rPr>
        <w:t xml:space="preserve">6.　本文は約1,170字です（前回抄録は913字）。NPI-Apathy scoreの初回・追跡時の比較を追加した分が増えています。字数制限がある場合は【結果】の追跡時MMSE・CDR-SBの数値を削ると約1,090字になります。</w:t>
      </w:r>
    </w:p>
    <w:p>
      <w:pPr>
        <w:spacing w:after="100"/>
        <w:ind w:left="340" w:hanging="340"/>
        <w:jc w:val="both"/>
      </w:pPr>
      <w:r>
        <w:rPr>
          <w:rFonts w:ascii="Century" w:eastAsia="ＭＳ 明朝" w:hAnsi="Century"/>
          <w:color w:val="444444"/>
          <w:sz w:val="19"/>
          <w:szCs w:val="19"/>
        </w:rPr>
        <w:t xml:space="preserve">7.　演題名を「NPIアパシーが消失した」から「NPI-Apathy scoreが低下した」に変更しました。著者・所属は前回抄録（日本神経学会 No.1000218）の並びを踏襲しています。ドナネマブは6例でNPIスコアが対で得られましたが、全例が初回・追跡時とも0点であり、かつMMSE・CDRの追跡値がないため解析対象外です。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2026-09-18T13:13:22.182Z</dcterms:created>
  <dcterms:modified xsi:type="dcterms:W3CDTF">2026-09-18T13:13:22.182Z</dcterms:modified>
</cp:coreProperties>
</file>

<file path=docProps/custom.xml><?xml version="1.0" encoding="utf-8"?>
<Properties xmlns="http://schemas.openxmlformats.org/officeDocument/2006/custom-properties" xmlns:vt="http://schemas.openxmlformats.org/officeDocument/2006/docPropsVTypes"/>
</file>