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jc w:val="center"/>
      </w:pPr>
      <w:r>
        <w:rPr>
          <w:rFonts w:ascii="Century" w:eastAsia="ＭＳ ゴシック" w:hAnsi="Century"/>
          <w:b/>
          <w:bCs/>
          <w:sz w:val="26"/>
          <w:szCs w:val="26"/>
        </w:rPr>
        <w:t xml:space="preserve">学会抄録ドラフト</w:t>
      </w:r>
    </w:p>
    <w:p>
      <w:pPr>
        <w:keepNext/>
        <w:spacing w:after="60" w:before="0"/>
      </w:pPr>
      <w:r>
        <w:rPr>
          <w:rFonts w:ascii="Century" w:eastAsia="ＭＳ ゴシック" w:hAnsi="Century"/>
          <w:b/>
          <w:bCs/>
          <w:sz w:val="21"/>
          <w:szCs w:val="21"/>
        </w:rPr>
        <w:t xml:space="preserve">【利益相反（Conflict of Interest）の有無】</w:t>
      </w:r>
    </w:p>
    <w:p>
      <w:pPr>
        <w:spacing w:after="80" w:line="300" w:lineRule="auto"/>
        <w:jc w:val="both"/>
      </w:pPr>
      <w:r>
        <w:rPr>
          <w:rFonts w:ascii="Century" w:eastAsia="ＭＳ 明朝" w:hAnsi="Century"/>
          <w:sz w:val="21"/>
          <w:szCs w:val="21"/>
        </w:rPr>
        <w:t xml:space="preserve">ない</w:t>
      </w:r>
    </w:p>
    <w:p>
      <w:pPr>
        <w:keepNext/>
        <w:spacing w:after="60" w:before="200"/>
      </w:pPr>
      <w:r>
        <w:rPr>
          <w:rFonts w:ascii="Century" w:eastAsia="ＭＳ ゴシック" w:hAnsi="Century"/>
          <w:b/>
          <w:bCs/>
          <w:sz w:val="21"/>
          <w:szCs w:val="21"/>
        </w:rPr>
        <w:t xml:space="preserve">【演題名】</w:t>
      </w:r>
    </w:p>
    <w:p>
      <w:pPr>
        <w:spacing w:after="80" w:line="300" w:lineRule="auto"/>
        <w:jc w:val="both"/>
      </w:pPr>
      <w:r>
        <w:rPr>
          <w:rFonts w:ascii="Century" w:eastAsia="ＭＳ 明朝" w:hAnsi="Century"/>
          <w:sz w:val="21"/>
          <w:szCs w:val="21"/>
        </w:rPr>
        <w:t xml:space="preserve">抗アミロイドβ抗体療法中にNPIアパシーが消失した症例の認知機能の推移に関する検討</w:t>
      </w:r>
    </w:p>
    <w:p>
      <w:pPr>
        <w:keepNext/>
        <w:spacing w:after="60" w:before="200"/>
      </w:pPr>
      <w:r>
        <w:rPr>
          <w:rFonts w:ascii="Century" w:eastAsia="ＭＳ ゴシック" w:hAnsi="Century"/>
          <w:b/>
          <w:bCs/>
          <w:sz w:val="21"/>
          <w:szCs w:val="21"/>
        </w:rPr>
        <w:t xml:space="preserve">【演題名(英文)】</w:t>
      </w:r>
    </w:p>
    <w:p>
      <w:pPr>
        <w:spacing w:after="80" w:line="300" w:lineRule="auto"/>
        <w:jc w:val="both"/>
      </w:pPr>
      <w:r>
        <w:rPr>
          <w:rFonts w:ascii="Century" w:eastAsia="ＭＳ 明朝" w:hAnsi="Century"/>
          <w:sz w:val="21"/>
          <w:szCs w:val="21"/>
        </w:rPr>
        <w:t xml:space="preserve">Cognitive trajectories in patients whose apathy on the Neuropsychiatric Inventory resolved during anti-amyloid-β antibody therapy</w:t>
      </w:r>
    </w:p>
    <w:p>
      <w:pPr>
        <w:keepNext/>
        <w:spacing w:after="60" w:before="200"/>
      </w:pPr>
      <w:r>
        <w:rPr>
          <w:rFonts w:ascii="Century" w:eastAsia="ＭＳ ゴシック" w:hAnsi="Century"/>
          <w:b/>
          <w:bCs/>
          <w:sz w:val="21"/>
          <w:szCs w:val="21"/>
        </w:rPr>
        <w:t xml:space="preserve">【著者】</w:t>
      </w:r>
    </w:p>
    <w:p>
      <w:pPr>
        <w:spacing w:after="80" w:line="300" w:lineRule="auto"/>
        <w:jc w:val="both"/>
      </w:pPr>
      <w:r>
        <w:rPr>
          <w:rFonts w:ascii="Century" w:eastAsia="ＭＳ 明朝" w:hAnsi="Century"/>
          <w:sz w:val="21"/>
          <w:szCs w:val="21"/>
        </w:rPr>
        <w:t xml:space="preserve">堀内 裕介</w:t>
      </w:r>
      <w:r>
        <w:rPr>
          <w:rFonts w:ascii="Century" w:eastAsia="ＭＳ 明朝" w:hAnsi="Century"/>
          <w:sz w:val="21"/>
          <w:szCs w:val="21"/>
          <w:vertAlign w:val="superscript"/>
        </w:rPr>
        <w:t xml:space="preserve">1</w:t>
      </w:r>
      <w:r>
        <w:rPr>
          <w:rFonts w:ascii="Century" w:eastAsia="ＭＳ 明朝" w:hAnsi="Century"/>
          <w:sz w:val="21"/>
          <w:szCs w:val="21"/>
        </w:rPr>
        <w:t xml:space="preserve">，遠藤 芳徳</w:t>
      </w:r>
      <w:r>
        <w:rPr>
          <w:rFonts w:ascii="Century" w:eastAsia="ＭＳ 明朝" w:hAnsi="Century"/>
          <w:sz w:val="21"/>
          <w:szCs w:val="21"/>
          <w:vertAlign w:val="superscript"/>
        </w:rPr>
        <w:t xml:space="preserve">1</w:t>
      </w:r>
      <w:r>
        <w:rPr>
          <w:rFonts w:ascii="Century" w:eastAsia="ＭＳ 明朝" w:hAnsi="Century"/>
          <w:sz w:val="21"/>
          <w:szCs w:val="21"/>
        </w:rPr>
        <w:t xml:space="preserve">，高畠 靖志</w:t>
      </w:r>
      <w:r>
        <w:rPr>
          <w:rFonts w:ascii="Century" w:eastAsia="ＭＳ 明朝" w:hAnsi="Century"/>
          <w:sz w:val="21"/>
          <w:szCs w:val="21"/>
          <w:vertAlign w:val="superscript"/>
        </w:rPr>
        <w:t xml:space="preserve">2</w:t>
      </w:r>
      <w:r>
        <w:rPr>
          <w:rFonts w:ascii="Century" w:eastAsia="ＭＳ 明朝" w:hAnsi="Century"/>
          <w:sz w:val="21"/>
          <w:szCs w:val="21"/>
        </w:rPr>
        <w:t xml:space="preserve">，向井 裕修</w:t>
      </w:r>
      <w:r>
        <w:rPr>
          <w:rFonts w:ascii="Century" w:eastAsia="ＭＳ 明朝" w:hAnsi="Century"/>
          <w:sz w:val="21"/>
          <w:szCs w:val="21"/>
          <w:vertAlign w:val="superscript"/>
        </w:rPr>
        <w:t xml:space="preserve">2</w:t>
      </w:r>
      <w:r>
        <w:rPr>
          <w:rFonts w:ascii="Century" w:eastAsia="ＭＳ 明朝" w:hAnsi="Century"/>
          <w:sz w:val="21"/>
          <w:szCs w:val="21"/>
        </w:rPr>
        <w:t xml:space="preserve">，上野 亜佐子</w:t>
      </w:r>
      <w:r>
        <w:rPr>
          <w:rFonts w:ascii="Century" w:eastAsia="ＭＳ 明朝" w:hAnsi="Century"/>
          <w:sz w:val="21"/>
          <w:szCs w:val="21"/>
          <w:vertAlign w:val="superscript"/>
        </w:rPr>
        <w:t xml:space="preserve">1</w:t>
      </w:r>
    </w:p>
    <w:p>
      <w:pPr>
        <w:keepNext/>
        <w:spacing w:after="60" w:before="200"/>
      </w:pPr>
      <w:r>
        <w:rPr>
          <w:rFonts w:ascii="Century" w:eastAsia="ＭＳ ゴシック" w:hAnsi="Century"/>
          <w:b/>
          <w:bCs/>
          <w:sz w:val="21"/>
          <w:szCs w:val="21"/>
        </w:rPr>
        <w:t xml:space="preserve">【著者(英文)】</w:t>
      </w:r>
    </w:p>
    <w:p>
      <w:pPr>
        <w:spacing w:after="80" w:line="300" w:lineRule="auto"/>
        <w:jc w:val="both"/>
      </w:pPr>
      <w:r>
        <w:rPr>
          <w:rFonts w:ascii="Century" w:eastAsia="ＭＳ 明朝" w:hAnsi="Century"/>
          <w:sz w:val="21"/>
          <w:szCs w:val="21"/>
        </w:rPr>
        <w:t xml:space="preserve">Yusuke Horiuchi</w:t>
      </w:r>
      <w:r>
        <w:rPr>
          <w:rFonts w:ascii="Century" w:eastAsia="ＭＳ 明朝" w:hAnsi="Century"/>
          <w:sz w:val="21"/>
          <w:szCs w:val="21"/>
          <w:vertAlign w:val="superscript"/>
        </w:rPr>
        <w:t xml:space="preserve">1</w:t>
      </w:r>
      <w:r>
        <w:rPr>
          <w:rFonts w:ascii="Century" w:eastAsia="ＭＳ 明朝" w:hAnsi="Century"/>
          <w:sz w:val="21"/>
          <w:szCs w:val="21"/>
        </w:rPr>
        <w:t xml:space="preserve">，Yoshinori Endo</w:t>
      </w:r>
      <w:r>
        <w:rPr>
          <w:rFonts w:ascii="Century" w:eastAsia="ＭＳ 明朝" w:hAnsi="Century"/>
          <w:sz w:val="21"/>
          <w:szCs w:val="21"/>
          <w:vertAlign w:val="superscript"/>
        </w:rPr>
        <w:t xml:space="preserve">1</w:t>
      </w:r>
      <w:r>
        <w:rPr>
          <w:rFonts w:ascii="Century" w:eastAsia="ＭＳ 明朝" w:hAnsi="Century"/>
          <w:sz w:val="21"/>
          <w:szCs w:val="21"/>
        </w:rPr>
        <w:t xml:space="preserve">，Yasushi Takabatake</w:t>
      </w:r>
      <w:r>
        <w:rPr>
          <w:rFonts w:ascii="Century" w:eastAsia="ＭＳ 明朝" w:hAnsi="Century"/>
          <w:sz w:val="21"/>
          <w:szCs w:val="21"/>
          <w:vertAlign w:val="superscript"/>
        </w:rPr>
        <w:t xml:space="preserve">2</w:t>
      </w:r>
      <w:r>
        <w:rPr>
          <w:rFonts w:ascii="Century" w:eastAsia="ＭＳ 明朝" w:hAnsi="Century"/>
          <w:sz w:val="21"/>
          <w:szCs w:val="21"/>
        </w:rPr>
        <w:t xml:space="preserve">，Hironobu Mukai</w:t>
      </w:r>
      <w:r>
        <w:rPr>
          <w:rFonts w:ascii="Century" w:eastAsia="ＭＳ 明朝" w:hAnsi="Century"/>
          <w:sz w:val="21"/>
          <w:szCs w:val="21"/>
          <w:vertAlign w:val="superscript"/>
        </w:rPr>
        <w:t xml:space="preserve">2</w:t>
      </w:r>
      <w:r>
        <w:rPr>
          <w:rFonts w:ascii="Century" w:eastAsia="ＭＳ 明朝" w:hAnsi="Century"/>
          <w:sz w:val="21"/>
          <w:szCs w:val="21"/>
        </w:rPr>
        <w:t xml:space="preserve">，Asako Ueno</w:t>
      </w:r>
      <w:r>
        <w:rPr>
          <w:rFonts w:ascii="Century" w:eastAsia="ＭＳ 明朝" w:hAnsi="Century"/>
          <w:sz w:val="21"/>
          <w:szCs w:val="21"/>
          <w:vertAlign w:val="superscript"/>
        </w:rPr>
        <w:t xml:space="preserve">1</w:t>
      </w:r>
    </w:p>
    <w:p>
      <w:pPr>
        <w:keepNext/>
        <w:spacing w:after="60" w:before="200"/>
      </w:pPr>
      <w:r>
        <w:rPr>
          <w:rFonts w:ascii="Century" w:eastAsia="ＭＳ ゴシック" w:hAnsi="Century"/>
          <w:b/>
          <w:bCs/>
          <w:sz w:val="21"/>
          <w:szCs w:val="21"/>
        </w:rPr>
        <w:t xml:space="preserve">【所属】</w:t>
      </w:r>
    </w:p>
    <w:p>
      <w:pPr>
        <w:spacing w:after="80" w:line="300" w:lineRule="auto"/>
        <w:jc w:val="both"/>
      </w:pPr>
      <w:r>
        <w:rPr>
          <w:rFonts w:ascii="Century" w:eastAsia="ＭＳ 明朝" w:hAnsi="Century"/>
          <w:sz w:val="21"/>
          <w:szCs w:val="21"/>
          <w:vertAlign w:val="superscript"/>
        </w:rPr>
        <w:t xml:space="preserve">1</w:t>
      </w:r>
      <w:r>
        <w:rPr>
          <w:rFonts w:ascii="Century" w:eastAsia="ＭＳ 明朝" w:hAnsi="Century"/>
          <w:sz w:val="21"/>
          <w:szCs w:val="21"/>
        </w:rPr>
        <w:t xml:space="preserve">福井県済生会病院 脳神経内科，</w:t>
      </w:r>
      <w:r>
        <w:rPr>
          <w:rFonts w:ascii="Century" w:eastAsia="ＭＳ 明朝" w:hAnsi="Century"/>
          <w:sz w:val="21"/>
          <w:szCs w:val="21"/>
          <w:vertAlign w:val="superscript"/>
        </w:rPr>
        <w:t xml:space="preserve">2</w:t>
      </w:r>
      <w:r>
        <w:rPr>
          <w:rFonts w:ascii="Century" w:eastAsia="ＭＳ 明朝" w:hAnsi="Century"/>
          <w:sz w:val="21"/>
          <w:szCs w:val="21"/>
        </w:rPr>
        <w:t xml:space="preserve">福井県済生会病院 脳神経外科</w:t>
      </w:r>
    </w:p>
    <w:p>
      <w:pPr>
        <w:keepNext/>
        <w:spacing w:after="60" w:before="200"/>
      </w:pPr>
      <w:r>
        <w:rPr>
          <w:rFonts w:ascii="Century" w:eastAsia="ＭＳ ゴシック" w:hAnsi="Century"/>
          <w:b/>
          <w:bCs/>
          <w:sz w:val="21"/>
          <w:szCs w:val="21"/>
        </w:rPr>
        <w:t xml:space="preserve">【所属(英文)】</w:t>
      </w:r>
    </w:p>
    <w:p>
      <w:pPr>
        <w:spacing w:after="80" w:line="300" w:lineRule="auto"/>
        <w:jc w:val="both"/>
      </w:pPr>
      <w:r>
        <w:rPr>
          <w:rFonts w:ascii="Century" w:eastAsia="ＭＳ 明朝" w:hAnsi="Century"/>
          <w:sz w:val="21"/>
          <w:szCs w:val="21"/>
          <w:vertAlign w:val="superscript"/>
        </w:rPr>
        <w:t xml:space="preserve">1</w:t>
      </w:r>
      <w:r>
        <w:rPr>
          <w:rFonts w:ascii="Century" w:eastAsia="ＭＳ 明朝" w:hAnsi="Century"/>
          <w:sz w:val="21"/>
          <w:szCs w:val="21"/>
        </w:rPr>
        <w:t xml:space="preserve">Department of Neurology, Fukuiken Saiseikai Hospital, Japan，</w:t>
      </w:r>
      <w:r>
        <w:rPr>
          <w:rFonts w:ascii="Century" w:eastAsia="ＭＳ 明朝" w:hAnsi="Century"/>
          <w:sz w:val="21"/>
          <w:szCs w:val="21"/>
          <w:vertAlign w:val="superscript"/>
        </w:rPr>
        <w:t xml:space="preserve">2</w:t>
      </w:r>
      <w:r>
        <w:rPr>
          <w:rFonts w:ascii="Century" w:eastAsia="ＭＳ 明朝" w:hAnsi="Century"/>
          <w:sz w:val="21"/>
          <w:szCs w:val="21"/>
        </w:rPr>
        <w:t xml:space="preserve">Department of Neurosurgery, Fukuiken Saiseikai Hospital, Japan</w:t>
      </w:r>
    </w:p>
    <w:p>
      <w:pPr>
        <w:pBdr>
          <w:bottom w:val="single" w:color="999999" w:sz="6" w:space="1"/>
        </w:pBdr>
        <w:spacing w:after="160" w:before="160"/>
      </w:pPr>
    </w:p>
    <w:p>
      <w:pPr>
        <w:keepNext/>
        <w:spacing w:after="60" w:before="0"/>
      </w:pPr>
      <w:r>
        <w:rPr>
          <w:rFonts w:ascii="Century" w:eastAsia="ＭＳ ゴシック" w:hAnsi="Century"/>
          <w:b/>
          <w:bCs/>
          <w:sz w:val="21"/>
          <w:szCs w:val="21"/>
        </w:rPr>
        <w:t xml:space="preserve">【目的】</w:t>
      </w:r>
    </w:p>
    <w:p>
      <w:pPr>
        <w:spacing w:after="80" w:line="300" w:lineRule="auto"/>
        <w:jc w:val="both"/>
      </w:pPr>
      <w:r>
        <w:rPr>
          <w:rFonts w:ascii="Century" w:eastAsia="ＭＳ 明朝" w:hAnsi="Century"/>
          <w:sz w:val="21"/>
          <w:szCs w:val="21"/>
        </w:rPr>
        <w:t xml:space="preserve">アパシーはアルツハイマー病（AD）に高頻度に伴い認知機能低下の予測因子となりうるが，主観的な評価は再現性に乏しい．本研究ではNeuropsychiatric Inventory（NPI）第7項目の有無を客観的指標とし，抗アミロイドβ抗体療法中にアパシーが消失した症例の認知機能の推移を検討した．</w:t>
      </w:r>
    </w:p>
    <w:p>
      <w:pPr>
        <w:keepNext/>
        <w:spacing w:after="60" w:before="200"/>
      </w:pPr>
      <w:r>
        <w:rPr>
          <w:rFonts w:ascii="Century" w:eastAsia="ＭＳ ゴシック" w:hAnsi="Century"/>
          <w:b/>
          <w:bCs/>
          <w:sz w:val="21"/>
          <w:szCs w:val="21"/>
        </w:rPr>
        <w:t xml:space="preserve">【方法】</w:t>
      </w:r>
    </w:p>
    <w:p>
      <w:pPr>
        <w:spacing w:after="80" w:line="300" w:lineRule="auto"/>
        <w:jc w:val="both"/>
      </w:pPr>
      <w:r>
        <w:rPr>
          <w:rFonts w:ascii="Century" w:eastAsia="ＭＳ 明朝" w:hAnsi="Century"/>
          <w:sz w:val="21"/>
          <w:szCs w:val="21"/>
        </w:rPr>
        <w:t xml:space="preserve">対象は当院で2024年2月〜2026年7月までに抗アミロイドβ抗体療法を行った96例．NPI原票がベースラインと追跡時の両方で確認できた21例のうち，MMSE・CDRの追跡も可能であった14例（全例レカネマブ）を解析対象とした．NPI第7項目が「あり→なし」となった2例と非改善12例について，患者背景，初回および追跡時の認知機能を比較した．統計解析はMann-Whitney U検定およびFisherの正確確率検定を用いた．</w:t>
      </w:r>
    </w:p>
    <w:p>
      <w:pPr>
        <w:keepNext/>
        <w:spacing w:after="60" w:before="200"/>
      </w:pPr>
      <w:r>
        <w:rPr>
          <w:rFonts w:ascii="Century" w:eastAsia="ＭＳ ゴシック" w:hAnsi="Century"/>
          <w:b/>
          <w:bCs/>
          <w:sz w:val="21"/>
          <w:szCs w:val="21"/>
        </w:rPr>
        <w:t xml:space="preserve">【結果】</w:t>
      </w:r>
    </w:p>
    <w:p>
      <w:pPr>
        <w:spacing w:after="80" w:line="300" w:lineRule="auto"/>
        <w:jc w:val="both"/>
      </w:pPr>
      <w:r>
        <w:rPr>
          <w:rFonts w:ascii="Century" w:eastAsia="ＭＳ 明朝" w:hAnsi="Century"/>
          <w:sz w:val="21"/>
          <w:szCs w:val="21"/>
        </w:rPr>
        <w:t xml:space="preserve">非改善群は12/14例（85.7％）で，初回MMSE 24.9±2.0・CDR-SB 1.5±0.7・時間見当識 4.2±1.0，追跡時MMSE 24.4±2.3・CDR-SB 2.5±1.1・時間見当識 3.4±1.5であった．アパシー改善群は2/14例（14.3％）で，初回MMSE 22.5±0.7（p=0.13）・CDR-SB 1.8±0.4（p=0.79），追跡時MMSE 24.0±1.4（p=0.92）・CDR-SB 2.8±1.8（p=1.00）と差を認めなかったが，初回の時間見当識は2.0±0.0と低値であった（p=0.02）．時間見当識の変化量は非改善群−0.8±0.8点，改善群+1.5±0.7点で（p=0.02），14例中で改善を示したのは改善群の2例のみであった（p=0.01）．改善2例はいずれも易怒性が新規出現していた．</w:t>
      </w:r>
    </w:p>
    <w:p>
      <w:pPr>
        <w:keepNext/>
        <w:spacing w:after="60" w:before="200"/>
      </w:pPr>
      <w:r>
        <w:rPr>
          <w:rFonts w:ascii="Century" w:eastAsia="ＭＳ ゴシック" w:hAnsi="Century"/>
          <w:b/>
          <w:bCs/>
          <w:sz w:val="21"/>
          <w:szCs w:val="21"/>
        </w:rPr>
        <w:t xml:space="preserve">【結論】</w:t>
      </w:r>
    </w:p>
    <w:p>
      <w:pPr>
        <w:spacing w:after="80" w:line="300" w:lineRule="auto"/>
        <w:jc w:val="both"/>
      </w:pPr>
      <w:r>
        <w:rPr>
          <w:rFonts w:ascii="Century" w:eastAsia="ＭＳ 明朝" w:hAnsi="Century"/>
          <w:sz w:val="21"/>
          <w:szCs w:val="21"/>
        </w:rPr>
        <w:t xml:space="preserve">抗アミロイドβ抗体療法中にNPIアパシーが消失した2例では，MMSE合計やCDR-SBの推移に非改善群との差を認めなかったが，MMSE時間見当識は2例とも改善し，14例中で改善を示したのはこの2例のみであった．アパシーの改善は全般的な認知機能ではなく特定の下位項目と関連する可能性がある．ただし改善群は初回の時間見当識が低く，天井効果の影響を否定できない．2例とも易怒性が新規出現しており，NPIは項目ごとに推移が異なる可能性がある．症例数が限られており慎重な解釈を要するが，今後の症例蓄積が望まれる．</w:t>
      </w:r>
    </w:p>
    <w:p>
      <w:r>
        <w:br w:type="page"/>
      </w:r>
    </w:p>
    <w:p>
      <w:pPr>
        <w:spacing w:after="200"/>
      </w:pPr>
      <w:r>
        <w:rPr>
          <w:rFonts w:ascii="Century" w:eastAsia="ＭＳ ゴシック" w:hAnsi="Century"/>
          <w:b/>
          <w:bCs/>
          <w:sz w:val="21"/>
          <w:szCs w:val="21"/>
        </w:rPr>
        <w:t xml:space="preserve">作成にあたっての確認事項（抄録本文には含めません。提出前にこのページを削除してください）</w:t>
      </w:r>
    </w:p>
    <w:p>
      <w:pPr>
        <w:spacing w:after="100"/>
        <w:ind w:left="340" w:hanging="340"/>
        <w:jc w:val="both"/>
      </w:pPr>
      <w:r>
        <w:rPr>
          <w:rFonts w:ascii="Century" w:eastAsia="ＭＳ 明朝" w:hAnsi="Century"/>
          <w:color w:val="444444"/>
          <w:sz w:val="19"/>
          <w:szCs w:val="19"/>
        </w:rPr>
        <w:t xml:space="preserve">1.　患者背景の項目について。前回抄録では年齢・性別・発症から診断までの期間を比較していましたが、ご提供いただいた2つのExcelにはこれらが含まれていません（MMSE／CDR／MoCA-J／NPIの4シートのみ）。そのため本案の患者背景は初回の認知機能検査値で構成しています。年齢・性別・ApoE・罹病期間の一覧をご提供いただければ、前回抄録と同一の背景項目を追加して書き直します。この追加を強くお勧めします。</w:t>
      </w:r>
    </w:p>
    <w:p>
      <w:pPr>
        <w:spacing w:after="100"/>
        <w:ind w:left="340" w:hanging="340"/>
        <w:jc w:val="both"/>
      </w:pPr>
      <w:r>
        <w:rPr>
          <w:rFonts w:ascii="Century" w:eastAsia="ＭＳ 明朝" w:hAnsi="Century"/>
          <w:color w:val="444444"/>
          <w:sz w:val="19"/>
          <w:szCs w:val="19"/>
        </w:rPr>
        <w:t xml:space="preserve">2.　治療期間「2024年2月〜2026年7月」は評価日から推定した値です。Excelに治療開始日の列がないため、記録されているベースライン評価日の範囲（最も早いNPIベースライン2024年2月14日、最も遅いMMSEベースライン2026年7月28日）を用いています。正確な期間をご存じであれば差し替えてください。</w:t>
      </w:r>
    </w:p>
    <w:p>
      <w:pPr>
        <w:spacing w:after="100"/>
        <w:ind w:left="340" w:hanging="340"/>
        <w:jc w:val="both"/>
      </w:pPr>
      <w:r>
        <w:rPr>
          <w:rFonts w:ascii="Century" w:eastAsia="ＭＳ 明朝" w:hAnsi="Century"/>
          <w:color w:val="444444"/>
          <w:sz w:val="19"/>
          <w:szCs w:val="19"/>
        </w:rPr>
        <w:t xml:space="preserve">3.　初回の時間見当識の差（p=0.02）を患者背景として本文に明記しています。所見を弱めるためではなく、天井効果の可能性を読者が判断できるようにするためです。伏せた場合、「改善群は初回値が低かったのではないか」という質疑に答えられません。結論にも一文入れています。</w:t>
      </w:r>
    </w:p>
    <w:p>
      <w:pPr>
        <w:spacing w:after="100"/>
        <w:ind w:left="340" w:hanging="340"/>
        <w:jc w:val="both"/>
      </w:pPr>
      <w:r>
        <w:rPr>
          <w:rFonts w:ascii="Century" w:eastAsia="ＭＳ 明朝" w:hAnsi="Century"/>
          <w:color w:val="444444"/>
          <w:sz w:val="19"/>
          <w:szCs w:val="19"/>
        </w:rPr>
        <w:t xml:space="preserve">4.　改善群2例の最終評価時点は6か月と24か月です。n=2のため平均±標準偏差（15.0±12.7か月）の解釈には注意を要します。「最終評価時点は6か月と24か月であった」と個別に記載する書き方も可能です。</w:t>
      </w:r>
    </w:p>
    <w:p>
      <w:pPr>
        <w:spacing w:after="100"/>
        <w:ind w:left="340" w:hanging="340"/>
        <w:jc w:val="both"/>
      </w:pPr>
      <w:r>
        <w:rPr>
          <w:rFonts w:ascii="Century" w:eastAsia="ＭＳ 明朝" w:hAnsi="Century"/>
          <w:color w:val="444444"/>
          <w:sz w:val="19"/>
          <w:szCs w:val="19"/>
        </w:rPr>
        <w:t xml:space="preserve">5.　順位による記載は使用していません。「73例中6位・2位」という表現は削除し、NPIの経過が追えた14例のなかでの比率（2/2例 vs 0/12例）に置き換えました。</w:t>
      </w:r>
    </w:p>
    <w:p>
      <w:pPr>
        <w:spacing w:after="100"/>
        <w:ind w:left="340" w:hanging="340"/>
        <w:jc w:val="both"/>
      </w:pPr>
      <w:r>
        <w:rPr>
          <w:rFonts w:ascii="Century" w:eastAsia="ＭＳ 明朝" w:hAnsi="Century"/>
          <w:color w:val="444444"/>
          <w:sz w:val="19"/>
          <w:szCs w:val="19"/>
        </w:rPr>
        <w:t xml:space="preserve">6.　著者・所属は前回抄録（日本神経学会 No.1000218）の並びを踏襲しています。変更が必要であればご指示ください。</w:t>
      </w:r>
    </w:p>
    <w:p>
      <w:pPr>
        <w:spacing w:after="100"/>
        <w:ind w:left="340" w:hanging="340"/>
        <w:jc w:val="both"/>
      </w:pPr>
      <w:r>
        <w:rPr>
          <w:rFonts w:ascii="Century" w:eastAsia="ＭＳ 明朝" w:hAnsi="Century"/>
          <w:color w:val="444444"/>
          <w:sz w:val="19"/>
          <w:szCs w:val="19"/>
        </w:rPr>
        <w:t xml:space="preserve">7.　本文（目的〜結論）は975字です（前回抄録は913字）。字数制限に応じて短縮する場合は、【結果】の追跡時MMSE・CDR-SBの数値を削るのが最小の情報損失となります。</w:t>
      </w:r>
    </w:p>
    <w:sectPr>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entury" w:eastAsia="ＭＳ 明朝" w:hAnsi="Century"/>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2026-09-18T11:16:50.736Z</dcterms:created>
  <dcterms:modified xsi:type="dcterms:W3CDTF">2026-09-18T11:16:50.746Z</dcterms:modified>
</cp:coreProperties>
</file>

<file path=docProps/custom.xml><?xml version="1.0" encoding="utf-8"?>
<Properties xmlns="http://schemas.openxmlformats.org/officeDocument/2006/custom-properties" xmlns:vt="http://schemas.openxmlformats.org/officeDocument/2006/docPropsVTypes"/>
</file>