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Century" w:eastAsia="ＭＳ ゴシック" w:hAnsi="Century"/>
          <w:b/>
          <w:bCs/>
          <w:sz w:val="26"/>
          <w:szCs w:val="26"/>
        </w:rPr>
        <w:t xml:space="preserve">学会抄録ドラフト</w:t>
      </w:r>
    </w:p>
    <w:p>
      <w:pPr>
        <w:keepNext/>
        <w:spacing w:after="60" w:before="0"/>
      </w:pPr>
      <w:r>
        <w:rPr>
          <w:rFonts w:ascii="Century" w:eastAsia="ＭＳ ゴシック" w:hAnsi="Century"/>
          <w:b/>
          <w:bCs/>
          <w:sz w:val="21"/>
          <w:szCs w:val="21"/>
        </w:rPr>
        <w:t xml:space="preserve">【利益相反（Conflict of Interest）の有無】</w:t>
      </w:r>
    </w:p>
    <w:p>
      <w:pPr>
        <w:spacing w:after="80" w:line="300" w:lineRule="auto"/>
        <w:jc w:val="both"/>
      </w:pPr>
      <w:r>
        <w:rPr>
          <w:rFonts w:ascii="Century" w:eastAsia="ＭＳ 明朝" w:hAnsi="Century"/>
          <w:sz w:val="21"/>
          <w:szCs w:val="21"/>
        </w:rPr>
        <w:t xml:space="preserve">ない</w:t>
      </w:r>
    </w:p>
    <w:p>
      <w:pPr>
        <w:keepNext/>
        <w:spacing w:after="60" w:before="200"/>
      </w:pPr>
      <w:r>
        <w:rPr>
          <w:rFonts w:ascii="Century" w:eastAsia="ＭＳ ゴシック" w:hAnsi="Century"/>
          <w:b/>
          <w:bCs/>
          <w:sz w:val="21"/>
          <w:szCs w:val="21"/>
        </w:rPr>
        <w:t xml:space="preserve">【演題名】</w:t>
      </w:r>
    </w:p>
    <w:p>
      <w:pPr>
        <w:spacing w:after="80" w:line="300" w:lineRule="auto"/>
        <w:jc w:val="both"/>
      </w:pPr>
      <w:r>
        <w:rPr>
          <w:rFonts w:ascii="Century" w:eastAsia="ＭＳ 明朝" w:hAnsi="Century"/>
          <w:sz w:val="21"/>
          <w:szCs w:val="21"/>
        </w:rPr>
        <w:t xml:space="preserve">抗アミロイドβ抗体療法例におけるNPIアパシースコア上昇の有無と認知機能変化の比較</w:t>
      </w:r>
    </w:p>
    <w:p>
      <w:pPr>
        <w:keepNext/>
        <w:spacing w:after="60" w:before="200"/>
      </w:pPr>
      <w:r>
        <w:rPr>
          <w:rFonts w:ascii="Century" w:eastAsia="ＭＳ ゴシック" w:hAnsi="Century"/>
          <w:b/>
          <w:bCs/>
          <w:sz w:val="21"/>
          <w:szCs w:val="21"/>
        </w:rPr>
        <w:t xml:space="preserve">【演題名(英文)】</w:t>
      </w:r>
    </w:p>
    <w:p>
      <w:pPr>
        <w:spacing w:after="80" w:line="300" w:lineRule="auto"/>
        <w:jc w:val="both"/>
      </w:pPr>
      <w:r>
        <w:rPr>
          <w:rFonts w:ascii="Century" w:eastAsia="ＭＳ 明朝" w:hAnsi="Century"/>
          <w:sz w:val="21"/>
          <w:szCs w:val="21"/>
        </w:rPr>
        <w:t xml:space="preserve">Cognitive change in relation to an increase in the NPI apathy score in patients receiving anti-amyloid-β antibody therapy</w:t>
      </w:r>
    </w:p>
    <w:p>
      <w:pPr>
        <w:keepNext/>
        <w:spacing w:after="60" w:before="200"/>
      </w:pPr>
      <w:r>
        <w:rPr>
          <w:rFonts w:ascii="Century" w:eastAsia="ＭＳ ゴシック" w:hAnsi="Century"/>
          <w:b/>
          <w:bCs/>
          <w:sz w:val="21"/>
          <w:szCs w:val="21"/>
        </w:rPr>
        <w:t xml:space="preserve">【著者】</w:t>
      </w:r>
    </w:p>
    <w:p>
      <w:pPr>
        <w:spacing w:after="80" w:line="300" w:lineRule="auto"/>
        <w:jc w:val="both"/>
      </w:pPr>
      <w:r>
        <w:rPr>
          <w:rFonts w:ascii="Century" w:eastAsia="ＭＳ 明朝" w:hAnsi="Century"/>
          <w:sz w:val="21"/>
          <w:szCs w:val="21"/>
        </w:rPr>
        <w:t xml:space="preserve">堀内 裕介</w:t>
      </w:r>
      <w:r>
        <w:rPr>
          <w:rFonts w:ascii="Century" w:eastAsia="ＭＳ 明朝" w:hAnsi="Century"/>
          <w:sz w:val="21"/>
          <w:szCs w:val="21"/>
          <w:vertAlign w:val="superscript"/>
        </w:rPr>
        <w:t xml:space="preserve">1</w:t>
      </w:r>
      <w:r>
        <w:rPr>
          <w:rFonts w:ascii="Century" w:eastAsia="ＭＳ 明朝" w:hAnsi="Century"/>
          <w:sz w:val="21"/>
          <w:szCs w:val="21"/>
        </w:rPr>
        <w:t xml:space="preserve">，遠藤 芳徳</w:t>
      </w:r>
      <w:r>
        <w:rPr>
          <w:rFonts w:ascii="Century" w:eastAsia="ＭＳ 明朝" w:hAnsi="Century"/>
          <w:sz w:val="21"/>
          <w:szCs w:val="21"/>
          <w:vertAlign w:val="superscript"/>
        </w:rPr>
        <w:t xml:space="preserve">1</w:t>
      </w:r>
      <w:r>
        <w:rPr>
          <w:rFonts w:ascii="Century" w:eastAsia="ＭＳ 明朝" w:hAnsi="Century"/>
          <w:sz w:val="21"/>
          <w:szCs w:val="21"/>
        </w:rPr>
        <w:t xml:space="preserve">，高畠 靖志</w:t>
      </w:r>
      <w:r>
        <w:rPr>
          <w:rFonts w:ascii="Century" w:eastAsia="ＭＳ 明朝" w:hAnsi="Century"/>
          <w:sz w:val="21"/>
          <w:szCs w:val="21"/>
          <w:vertAlign w:val="superscript"/>
        </w:rPr>
        <w:t xml:space="preserve">2</w:t>
      </w:r>
      <w:r>
        <w:rPr>
          <w:rFonts w:ascii="Century" w:eastAsia="ＭＳ 明朝" w:hAnsi="Century"/>
          <w:sz w:val="21"/>
          <w:szCs w:val="21"/>
        </w:rPr>
        <w:t xml:space="preserve">，向井 裕修</w:t>
      </w:r>
      <w:r>
        <w:rPr>
          <w:rFonts w:ascii="Century" w:eastAsia="ＭＳ 明朝" w:hAnsi="Century"/>
          <w:sz w:val="21"/>
          <w:szCs w:val="21"/>
          <w:vertAlign w:val="superscript"/>
        </w:rPr>
        <w:t xml:space="preserve">2</w:t>
      </w:r>
      <w:r>
        <w:rPr>
          <w:rFonts w:ascii="Century" w:eastAsia="ＭＳ 明朝" w:hAnsi="Century"/>
          <w:sz w:val="21"/>
          <w:szCs w:val="21"/>
        </w:rPr>
        <w:t xml:space="preserve">，上野 亜佐子</w:t>
      </w:r>
      <w:r>
        <w:rPr>
          <w:rFonts w:ascii="Century" w:eastAsia="ＭＳ 明朝" w:hAnsi="Century"/>
          <w:sz w:val="21"/>
          <w:szCs w:val="21"/>
          <w:vertAlign w:val="superscript"/>
        </w:rPr>
        <w:t xml:space="preserve">1</w:t>
      </w:r>
    </w:p>
    <w:p>
      <w:pPr>
        <w:keepNext/>
        <w:spacing w:after="60" w:before="200"/>
      </w:pPr>
      <w:r>
        <w:rPr>
          <w:rFonts w:ascii="Century" w:eastAsia="ＭＳ ゴシック" w:hAnsi="Century"/>
          <w:b/>
          <w:bCs/>
          <w:sz w:val="21"/>
          <w:szCs w:val="21"/>
        </w:rPr>
        <w:t xml:space="preserve">【著者(英文)】</w:t>
      </w:r>
    </w:p>
    <w:p>
      <w:pPr>
        <w:spacing w:after="80" w:line="300" w:lineRule="auto"/>
        <w:jc w:val="both"/>
      </w:pPr>
      <w:r>
        <w:rPr>
          <w:rFonts w:ascii="Century" w:eastAsia="ＭＳ 明朝" w:hAnsi="Century"/>
          <w:sz w:val="21"/>
          <w:szCs w:val="21"/>
        </w:rPr>
        <w:t xml:space="preserve">Yusuke Horiuchi</w:t>
      </w:r>
      <w:r>
        <w:rPr>
          <w:rFonts w:ascii="Century" w:eastAsia="ＭＳ 明朝" w:hAnsi="Century"/>
          <w:sz w:val="21"/>
          <w:szCs w:val="21"/>
          <w:vertAlign w:val="superscript"/>
        </w:rPr>
        <w:t xml:space="preserve">1</w:t>
      </w:r>
      <w:r>
        <w:rPr>
          <w:rFonts w:ascii="Century" w:eastAsia="ＭＳ 明朝" w:hAnsi="Century"/>
          <w:sz w:val="21"/>
          <w:szCs w:val="21"/>
        </w:rPr>
        <w:t xml:space="preserve">，Yoshinori Endo</w:t>
      </w:r>
      <w:r>
        <w:rPr>
          <w:rFonts w:ascii="Century" w:eastAsia="ＭＳ 明朝" w:hAnsi="Century"/>
          <w:sz w:val="21"/>
          <w:szCs w:val="21"/>
          <w:vertAlign w:val="superscript"/>
        </w:rPr>
        <w:t xml:space="preserve">1</w:t>
      </w:r>
      <w:r>
        <w:rPr>
          <w:rFonts w:ascii="Century" w:eastAsia="ＭＳ 明朝" w:hAnsi="Century"/>
          <w:sz w:val="21"/>
          <w:szCs w:val="21"/>
        </w:rPr>
        <w:t xml:space="preserve">，Yasushi Takabatake</w:t>
      </w:r>
      <w:r>
        <w:rPr>
          <w:rFonts w:ascii="Century" w:eastAsia="ＭＳ 明朝" w:hAnsi="Century"/>
          <w:sz w:val="21"/>
          <w:szCs w:val="21"/>
          <w:vertAlign w:val="superscript"/>
        </w:rPr>
        <w:t xml:space="preserve">2</w:t>
      </w:r>
      <w:r>
        <w:rPr>
          <w:rFonts w:ascii="Century" w:eastAsia="ＭＳ 明朝" w:hAnsi="Century"/>
          <w:sz w:val="21"/>
          <w:szCs w:val="21"/>
        </w:rPr>
        <w:t xml:space="preserve">，Hironobu Mukai</w:t>
      </w:r>
      <w:r>
        <w:rPr>
          <w:rFonts w:ascii="Century" w:eastAsia="ＭＳ 明朝" w:hAnsi="Century"/>
          <w:sz w:val="21"/>
          <w:szCs w:val="21"/>
          <w:vertAlign w:val="superscript"/>
        </w:rPr>
        <w:t xml:space="preserve">2</w:t>
      </w:r>
      <w:r>
        <w:rPr>
          <w:rFonts w:ascii="Century" w:eastAsia="ＭＳ 明朝" w:hAnsi="Century"/>
          <w:sz w:val="21"/>
          <w:szCs w:val="21"/>
        </w:rPr>
        <w:t xml:space="preserve">，Asako Ueno</w:t>
      </w:r>
      <w:r>
        <w:rPr>
          <w:rFonts w:ascii="Century" w:eastAsia="ＭＳ 明朝" w:hAnsi="Century"/>
          <w:sz w:val="21"/>
          <w:szCs w:val="21"/>
          <w:vertAlign w:val="superscript"/>
        </w:rPr>
        <w:t xml:space="preserve">1</w:t>
      </w:r>
    </w:p>
    <w:p>
      <w:pPr>
        <w:keepNext/>
        <w:spacing w:after="60" w:before="200"/>
      </w:pPr>
      <w:r>
        <w:rPr>
          <w:rFonts w:ascii="Century" w:eastAsia="ＭＳ ゴシック" w:hAnsi="Century"/>
          <w:b/>
          <w:bCs/>
          <w:sz w:val="21"/>
          <w:szCs w:val="21"/>
        </w:rPr>
        <w:t xml:space="preserve">【所属】</w:t>
      </w:r>
    </w:p>
    <w:p>
      <w:pPr>
        <w:spacing w:after="80" w:line="300" w:lineRule="auto"/>
        <w:jc w:val="both"/>
      </w:pPr>
      <w:r>
        <w:rPr>
          <w:rFonts w:ascii="Century" w:eastAsia="ＭＳ 明朝" w:hAnsi="Century"/>
          <w:sz w:val="21"/>
          <w:szCs w:val="21"/>
          <w:vertAlign w:val="superscript"/>
        </w:rPr>
        <w:t xml:space="preserve">1</w:t>
      </w:r>
      <w:r>
        <w:rPr>
          <w:rFonts w:ascii="Century" w:eastAsia="ＭＳ 明朝" w:hAnsi="Century"/>
          <w:sz w:val="21"/>
          <w:szCs w:val="21"/>
        </w:rPr>
        <w:t xml:space="preserve">福井県済生会病院 脳神経内科，</w:t>
      </w:r>
      <w:r>
        <w:rPr>
          <w:rFonts w:ascii="Century" w:eastAsia="ＭＳ 明朝" w:hAnsi="Century"/>
          <w:sz w:val="21"/>
          <w:szCs w:val="21"/>
          <w:vertAlign w:val="superscript"/>
        </w:rPr>
        <w:t xml:space="preserve">2</w:t>
      </w:r>
      <w:r>
        <w:rPr>
          <w:rFonts w:ascii="Century" w:eastAsia="ＭＳ 明朝" w:hAnsi="Century"/>
          <w:sz w:val="21"/>
          <w:szCs w:val="21"/>
        </w:rPr>
        <w:t xml:space="preserve">福井県済生会病院 脳神経外科</w:t>
      </w:r>
    </w:p>
    <w:p>
      <w:pPr>
        <w:keepNext/>
        <w:spacing w:after="60" w:before="200"/>
      </w:pPr>
      <w:r>
        <w:rPr>
          <w:rFonts w:ascii="Century" w:eastAsia="ＭＳ ゴシック" w:hAnsi="Century"/>
          <w:b/>
          <w:bCs/>
          <w:sz w:val="21"/>
          <w:szCs w:val="21"/>
        </w:rPr>
        <w:t xml:space="preserve">【所属(英文)】</w:t>
      </w:r>
    </w:p>
    <w:p>
      <w:pPr>
        <w:spacing w:after="80" w:line="300" w:lineRule="auto"/>
        <w:jc w:val="both"/>
      </w:pPr>
      <w:r>
        <w:rPr>
          <w:rFonts w:ascii="Century" w:eastAsia="ＭＳ 明朝" w:hAnsi="Century"/>
          <w:sz w:val="21"/>
          <w:szCs w:val="21"/>
          <w:vertAlign w:val="superscript"/>
        </w:rPr>
        <w:t xml:space="preserve">1</w:t>
      </w:r>
      <w:r>
        <w:rPr>
          <w:rFonts w:ascii="Century" w:eastAsia="ＭＳ 明朝" w:hAnsi="Century"/>
          <w:sz w:val="21"/>
          <w:szCs w:val="21"/>
        </w:rPr>
        <w:t xml:space="preserve">Department of Neurology, Fukuiken Saiseikai Hospital, Japan，</w:t>
      </w:r>
      <w:r>
        <w:rPr>
          <w:rFonts w:ascii="Century" w:eastAsia="ＭＳ 明朝" w:hAnsi="Century"/>
          <w:sz w:val="21"/>
          <w:szCs w:val="21"/>
          <w:vertAlign w:val="superscript"/>
        </w:rPr>
        <w:t xml:space="preserve">2</w:t>
      </w:r>
      <w:r>
        <w:rPr>
          <w:rFonts w:ascii="Century" w:eastAsia="ＭＳ 明朝" w:hAnsi="Century"/>
          <w:sz w:val="21"/>
          <w:szCs w:val="21"/>
        </w:rPr>
        <w:t xml:space="preserve">Department of Neurosurgery, Fukuiken Saiseikai Hospital, Japan</w:t>
      </w:r>
    </w:p>
    <w:p>
      <w:pPr>
        <w:pBdr>
          <w:bottom w:val="single" w:color="999999" w:sz="6" w:space="1"/>
        </w:pBdr>
        <w:spacing w:after="160" w:before="160"/>
      </w:pPr>
    </w:p>
    <w:p>
      <w:pPr>
        <w:keepNext/>
        <w:spacing w:after="60" w:before="0"/>
      </w:pPr>
      <w:r>
        <w:rPr>
          <w:rFonts w:ascii="Century" w:eastAsia="ＭＳ ゴシック" w:hAnsi="Century"/>
          <w:b/>
          <w:bCs/>
          <w:sz w:val="21"/>
          <w:szCs w:val="21"/>
        </w:rPr>
        <w:t xml:space="preserve">【目的】</w:t>
      </w:r>
    </w:p>
    <w:p>
      <w:pPr>
        <w:spacing w:after="80" w:line="300" w:lineRule="auto"/>
        <w:jc w:val="both"/>
      </w:pPr>
      <w:r>
        <w:rPr>
          <w:rFonts w:ascii="Century" w:eastAsia="ＭＳ 明朝" w:hAnsi="Century"/>
          <w:sz w:val="21"/>
          <w:szCs w:val="21"/>
        </w:rPr>
        <w:t xml:space="preserve">アパシーはアルツハイマー病に高頻度に伴う．Neuropsychiatric Inventory（NPI）のアパシー項目は頻度と重症度の積で採点する標準化された評価尺度である．本研究では，抗アミロイドβ抗体療法中にNPIアパシースコアが上昇した症例と上昇しなかった症例で，認知機能の変化が異なるかを探索的に検討した．</w:t>
      </w:r>
    </w:p>
    <w:p>
      <w:pPr>
        <w:keepNext/>
        <w:spacing w:after="60" w:before="200"/>
      </w:pPr>
      <w:r>
        <w:rPr>
          <w:rFonts w:ascii="Century" w:eastAsia="ＭＳ ゴシック" w:hAnsi="Century"/>
          <w:b/>
          <w:bCs/>
          <w:sz w:val="21"/>
          <w:szCs w:val="21"/>
        </w:rPr>
        <w:t xml:space="preserve">【方法】</w:t>
      </w:r>
    </w:p>
    <w:p>
      <w:pPr>
        <w:spacing w:after="80" w:line="300" w:lineRule="auto"/>
        <w:jc w:val="both"/>
      </w:pPr>
      <w:r>
        <w:rPr>
          <w:rFonts w:ascii="Century" w:eastAsia="ＭＳ 明朝" w:hAnsi="Century"/>
          <w:sz w:val="21"/>
          <w:szCs w:val="21"/>
        </w:rPr>
        <w:t xml:space="preserve">当院で抗アミロイドβ抗体療法を行った症例の評価記録を収集した観察研究である．NPIアパシースコア（頻度×重症度，0〜12点）が初回・追跡時とも算出できた21例のうち，MMSEとCDRの初回・追跡値も得られた14例（全例レカネマブ）を対象とした．ΔNPIアパシー（追跡−初回）1点以上をスコア上昇群，0点以下を非上昇群とした．認知機能はNPI追跡評価日に最も近い時点の値を用い，観察期間は6〜24か月であった．群分けは既存データ確認後に設定したもので，記述統計を主とし，群間比較にMann-Whitney U検定（完全並べ替え・両側）を用いた．</w:t>
      </w:r>
    </w:p>
    <w:p>
      <w:pPr>
        <w:keepNext/>
        <w:spacing w:after="60" w:before="200"/>
      </w:pPr>
      <w:r>
        <w:rPr>
          <w:rFonts w:ascii="Century" w:eastAsia="ＭＳ ゴシック" w:hAnsi="Century"/>
          <w:b/>
          <w:bCs/>
          <w:sz w:val="21"/>
          <w:szCs w:val="21"/>
        </w:rPr>
        <w:t xml:space="preserve">【結果】</w:t>
      </w:r>
    </w:p>
    <w:p>
      <w:pPr>
        <w:spacing w:after="80" w:line="300" w:lineRule="auto"/>
        <w:jc w:val="both"/>
      </w:pPr>
      <w:r>
        <w:rPr>
          <w:rFonts w:ascii="Century" w:eastAsia="ＭＳ 明朝" w:hAnsi="Century"/>
          <w:sz w:val="21"/>
          <w:szCs w:val="21"/>
        </w:rPr>
        <w:t xml:space="preserve">スコア上昇群は5例，非上昇群は9例であった．上昇群は初回0点からの上昇3例と初回1点以上からの上昇2例，非上昇群は初回0点のまま7例と初回1点以上からの低下2例であった．年齢は上昇群77［71, 82］歳，非上昇群75［68, 83］歳，女性は4/5例と5/9例であった．初回MMSEは24［22, 28］と25［22, 28］，初回CDR-SBは1［0.5, 2.5］と1.5［1, 2.5］であった．追跡時MMSEは25［22, 27］と23［21, 29］，追跡時CDR-SBは2［1, 4.5］と2.5［1.5, 4.5］であった．ΔMMSEは0［−2, 3］と0［−4, 3］（p=0.73），ΔCDR-SBは0.5［0, 2.5］と1［0, 2］（p=1.00）で，いずれも両群の分布は重なっていた．MMSE下位11項目とCDR下位6領域についても多重性を調整せずに比較したが，p&lt;0.05となった項目はなかった．</w:t>
      </w:r>
    </w:p>
    <w:p>
      <w:pPr>
        <w:keepNext/>
        <w:spacing w:after="60" w:before="200"/>
      </w:pPr>
      <w:r>
        <w:rPr>
          <w:rFonts w:ascii="Century" w:eastAsia="ＭＳ ゴシック" w:hAnsi="Century"/>
          <w:b/>
          <w:bCs/>
          <w:sz w:val="21"/>
          <w:szCs w:val="21"/>
        </w:rPr>
        <w:t xml:space="preserve">【結論】</w:t>
      </w:r>
    </w:p>
    <w:p>
      <w:pPr>
        <w:spacing w:after="80" w:line="300" w:lineRule="auto"/>
        <w:jc w:val="both"/>
      </w:pPr>
      <w:r>
        <w:rPr>
          <w:rFonts w:ascii="Century" w:eastAsia="ＭＳ 明朝" w:hAnsi="Century"/>
          <w:sz w:val="21"/>
          <w:szCs w:val="21"/>
        </w:rPr>
        <w:t xml:space="preserve">本コホートでは，NPIアパシースコア上昇の有無によってMMSEおよびCDR-SBの変化に明瞭な違いを示すことはできなかった．症例数が少なく観察期間も6〜24か月と群間でそろっていないため，小さな違いは検出できない．全例が治療例で非治療対照がなく，薬剤の効果は評価できない．またスコア上昇群には症状の新規出現と既存症状の増加が，非上昇群には症状を認めないままの経過とスコア低下が含まれ，群内の経過は一様ではない．今後，症例を蓄積して報告する．</w:t>
      </w:r>
    </w:p>
    <w:p>
      <w:r>
        <w:br w:type="page"/>
      </w:r>
    </w:p>
    <w:p>
      <w:pPr>
        <w:spacing w:after="200"/>
      </w:pPr>
      <w:r>
        <w:rPr>
          <w:rFonts w:ascii="Century" w:eastAsia="ＭＳ ゴシック" w:hAnsi="Century"/>
          <w:b/>
          <w:bCs/>
          <w:sz w:val="21"/>
          <w:szCs w:val="21"/>
        </w:rPr>
        <w:t xml:space="preserve">作成にあたっての確認事項（抄録本文には含めません。提出前にこのページを削除してください）</w:t>
      </w:r>
    </w:p>
    <w:p>
      <w:pPr>
        <w:spacing w:after="100"/>
        <w:ind w:left="340" w:hanging="340"/>
        <w:jc w:val="both"/>
      </w:pPr>
      <w:r>
        <w:rPr>
          <w:rFonts w:ascii="Century" w:eastAsia="ＭＳ 明朝" w:hAnsi="Century"/>
          <w:color w:val="444444"/>
          <w:sz w:val="19"/>
          <w:szCs w:val="19"/>
        </w:rPr>
        <w:t xml:space="preserve">1.　本抄録の群分け（ΔNPIアパシー≧1点＝スコア上昇群、≦0点＝非上昇群）は、既存データを確認したのちに設定したものです。研究開始前に規定した解析ではないため、本文でも「探索的に検討した」と記載し、事前規定の主要評価項目という表現は用いていません。</w:t>
      </w:r>
    </w:p>
    <w:p>
      <w:pPr>
        <w:spacing w:after="100"/>
        <w:ind w:left="340" w:hanging="340"/>
        <w:jc w:val="both"/>
      </w:pPr>
      <w:r>
        <w:rPr>
          <w:rFonts w:ascii="Century" w:eastAsia="ＭＳ 明朝" w:hAnsi="Century"/>
          <w:color w:val="444444"/>
          <w:sz w:val="19"/>
          <w:szCs w:val="19"/>
        </w:rPr>
        <w:t xml:space="preserve">2.　研究デザインの記載は「評価記録を収集した観察研究」としました。研究プロトコルが確認できず、後方視的か前向き要素を含むかを断定できないためです。プロトコルをご確認のうえ、必要であれば修正してください。</w:t>
      </w:r>
    </w:p>
    <w:p>
      <w:pPr>
        <w:spacing w:after="100"/>
        <w:ind w:left="340" w:hanging="340"/>
        <w:jc w:val="both"/>
      </w:pPr>
      <w:r>
        <w:rPr>
          <w:rFonts w:ascii="Century" w:eastAsia="ＭＳ 明朝" w:hAnsi="Century"/>
          <w:color w:val="444444"/>
          <w:sz w:val="19"/>
          <w:szCs w:val="19"/>
        </w:rPr>
        <w:t xml:space="preserve">3.　倫理審査番号・同意取得の方法は、データから確認できないため記載していません。投稿規定で必要であれば追記が必要です。</w:t>
      </w:r>
    </w:p>
    <w:p>
      <w:pPr>
        <w:spacing w:after="100"/>
        <w:ind w:left="340" w:hanging="340"/>
        <w:jc w:val="both"/>
      </w:pPr>
      <w:r>
        <w:rPr>
          <w:rFonts w:ascii="Century" w:eastAsia="ＭＳ 明朝" w:hAnsi="Century"/>
          <w:color w:val="444444"/>
          <w:sz w:val="19"/>
          <w:szCs w:val="19"/>
        </w:rPr>
        <w:t xml:space="preserve">4.　NPIの版（NPI-10/12、NPI-NH等）は元ファイルのいずれにも記載がないため、抄録では版を断定せず「頻度と重症度の積で採点する標準化された評価尺度」と記載しました。</w:t>
      </w:r>
    </w:p>
    <w:p>
      <w:pPr>
        <w:spacing w:after="100"/>
        <w:ind w:left="340" w:hanging="340"/>
        <w:jc w:val="both"/>
      </w:pPr>
      <w:r>
        <w:rPr>
          <w:rFonts w:ascii="Century" w:eastAsia="ＭＳ 明朝" w:hAnsi="Century"/>
          <w:color w:val="444444"/>
          <w:sz w:val="19"/>
          <w:szCs w:val="19"/>
        </w:rPr>
        <w:t xml:space="preserve">5.　旧抄録の下位項目と合計点の不整合は、データの誤りではなく抄録本文での記載省略が原因でした。低下例1は図形模写0→1、低下例2は注意計算3→4の記載が省略されていました。元データでは下位項目Δの総和と合計点Δが対象14例すべてで一致します。値の訂正は行っていません。</w:t>
      </w:r>
    </w:p>
    <w:p>
      <w:pPr>
        <w:spacing w:after="100"/>
        <w:ind w:left="340" w:hanging="340"/>
        <w:jc w:val="both"/>
      </w:pPr>
      <w:r>
        <w:rPr>
          <w:rFonts w:ascii="Century" w:eastAsia="ＭＳ 明朝" w:hAnsi="Century"/>
          <w:color w:val="444444"/>
          <w:sz w:val="19"/>
          <w:szCs w:val="19"/>
        </w:rPr>
        <w:t xml:space="preserve">6.　組み入れは97件の研究番号から、NPI原票なし72例、NPIが1時点のみ4例、認知機能の追跡なし7例を除いた14例です。旧抄録の「96例」はNPIシートにのみ存在するL69を除いた66＋30で、この点は一致しています。</w:t>
      </w:r>
    </w:p>
    <w:p>
      <w:pPr>
        <w:spacing w:after="100"/>
        <w:ind w:left="340" w:hanging="340"/>
        <w:jc w:val="both"/>
      </w:pPr>
      <w:r>
        <w:rPr>
          <w:rFonts w:ascii="Century" w:eastAsia="ＭＳ 明朝" w:hAnsi="Century"/>
          <w:color w:val="444444"/>
          <w:sz w:val="19"/>
          <w:szCs w:val="19"/>
        </w:rPr>
        <w:t xml:space="preserve">7.　MMSE合計と下位項目合計が一致しない記録が全体で2件（L45/12か月、D16/6か月）ありましたが、いずれも対象14例に含まれないため結果に影響しません。原資料でのご確認をお勧めします。</w:t>
      </w:r>
    </w:p>
    <w:p>
      <w:pPr>
        <w:spacing w:after="100"/>
        <w:ind w:left="340" w:hanging="340"/>
        <w:jc w:val="both"/>
      </w:pPr>
      <w:r>
        <w:rPr>
          <w:rFonts w:ascii="Century" w:eastAsia="ＭＳ 明朝" w:hAnsi="Century"/>
          <w:color w:val="444444"/>
          <w:sz w:val="19"/>
          <w:szCs w:val="19"/>
        </w:rPr>
        <w:t xml:space="preserve">8.　統計はMann-Whitney U（順位和）の完全並べ替え検定・両側です。5例対9例で並べ替え総数はC(14,5)=2,002、到達可能な最小p値は0.0010です。同順位が多いため、同順位を扱えない正確法ではなく中間順位を用いた完全並べ替えで算出しました。下位17項目は多重性を調整しておらず、確証的には解釈できません。</w:t>
      </w:r>
    </w:p>
    <w:p>
      <w:pPr>
        <w:spacing w:after="100"/>
        <w:ind w:left="340" w:hanging="340"/>
        <w:jc w:val="both"/>
      </w:pPr>
      <w:r>
        <w:rPr>
          <w:rFonts w:ascii="Century" w:eastAsia="ＭＳ 明朝" w:hAnsi="Century"/>
          <w:color w:val="444444"/>
          <w:sz w:val="19"/>
          <w:szCs w:val="19"/>
        </w:rPr>
        <w:t xml:space="preserve">9.　本文は1,045字です（前回抄録は913字）。作業フォルダ内に学会の投稿規定が見つからなかったため、前回抄録と同程度を目安としました。字数制限がある場合は、【結果】の初回値・追跡値の記載を削ると約900字になります。</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2026-09-20T09:18:18.768Z</dcterms:created>
  <dcterms:modified xsi:type="dcterms:W3CDTF">2026-09-20T09:18:18.780Z</dcterms:modified>
</cp:coreProperties>
</file>

<file path=docProps/custom.xml><?xml version="1.0" encoding="utf-8"?>
<Properties xmlns="http://schemas.openxmlformats.org/officeDocument/2006/custom-properties" xmlns:vt="http://schemas.openxmlformats.org/officeDocument/2006/docPropsVTypes"/>
</file>