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抗アミロイドβ抗体療法中にNPIアパシーが消失した症例の認知機能の推移に関する検討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whose apathy on the Neuropsychiatric Inventory resolved during anti-amyloid-β antibody therapy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アパシーはアルツハイマー病（AD）に高頻度に伴い認知機能低下の予測因子となりうるが，主観的な評価は再現性に乏しい．本研究ではNeuropsychiatric Inventory（NPI）第7項目の有無を客観的指標とし，抗アミロイドβ抗体療法中にアパシーが消失した症例の認知機能の推移を検討した．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1月〜2026年7月までに抗アミロイドβ抗体療法を行った96例．NPI原票がベースラインと追跡時の両方で確認できた21例のうち，MMSE・CDRの追跡も可能であった14例（全例レカネマブ）を解析対象とした．NPI第7項目が「あり→なし」となった2例と非改善12例について，患者背景，初回および追跡時の認知機能を比較した．統計解析はMann-Whitney U検定およびFisherの正確確率検定を用いた．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非改善群は12/14例（85.7％）で，年齢74.8±4.6歳，女性58％，初回MMSE 24.9±2.0・CDR-SB 1.5±0.7・時間見当識4.2±1.0，追跡時MMSE 24.4±2.3・CDR-SB 2.5±1.1であった．アパシー改善群は2/14例（14.3％）で，年齢78.0±4.2歳（p=0.55），女性100％（p=0.51），初回MMSE 22.5±0.7（p=0.13）・CDR-SB 1.8±0.4（p=0.79），追跡時MMSE 24.0±1.4（p=0.92）・CDR-SB 2.8±1.8（p=1.00）と差を認めなかったが，初回の時間見当識は2.0±0.0と低値であった（p=0.02）．時間見当識の変化量は非改善群−0.8±0.8点，改善群+1.5±0.7点で（p=0.02），14例中で改善を示したのは改善群の2例のみであった（p=0.01）．改善2例はいずれも易怒性が新規出現してい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抗アミロイドβ抗体療法中にNPIアパシーが消失した2例では，年齢・性別やMMSE合計・CDR-SBの推移に非改善群との差を認めなかったが，MMSE時間見当識は2例とも改善し，14例中で改善を示したのはこの2例のみであった．アパシーの改善は全般的な認知機能ではなく特定の下位項目と関連する可能性がある．ただし改善群は初回の時間見当識が低く，天井効果の影響を否定できない．2例とも易怒性が新規出現しており，NPIの項目ごとに推移は異なりうる．症例数が限られており慎重な解釈を要するが，今後の症例蓄積が望まれ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いただいた一覧表に氏名・よみがな・カルテIDが含まれていました。リポジトリは公開設定のため、これらのファイル自体も氏名を含む派生物も一切コミットしていません。研究番号・年齢・性別・投与開始日のみを抽出して保存しています。今後は氏名列を削除したものをお送りいただくのが安全です。</w:t>
      </w:r>
    </w:p>
    <w:p>
      <w:pPr>
        <w:spacing w:after="100"/>
        <w:ind w:left="340" w:hanging="340"/>
        <w:jc w:val="both"/>
      </w:pPr>
      <w:r>
        <w:rPr>
          <w:rFonts w:ascii="Century" w:eastAsia="ＭＳ 明朝" w:hAnsi="Century"/>
          <w:color w:val="444444"/>
          <w:sz w:val="19"/>
          <w:szCs w:val="19"/>
        </w:rPr>
        <w:t xml:space="preserve">2.　ドナネマブの一覧表には年齢の列がありません。ただし解析対象14例は全例レカネマブであり、抄録本文の年齢はすべてレカネマブ例の値であるため、本抄録の記載に影響はありません。</w:t>
      </w:r>
    </w:p>
    <w:p>
      <w:pPr>
        <w:spacing w:after="100"/>
        <w:ind w:left="340" w:hanging="340"/>
        <w:jc w:val="both"/>
      </w:pPr>
      <w:r>
        <w:rPr>
          <w:rFonts w:ascii="Century" w:eastAsia="ＭＳ 明朝" w:hAnsi="Century"/>
          <w:color w:val="444444"/>
          <w:sz w:val="19"/>
          <w:szCs w:val="19"/>
        </w:rPr>
        <w:t xml:space="preserve">3.　治療期間の根拠。レカネマブは一覧表の投与開始日（2024年1月13日〜2026年2月18日、63例で記載あり）、ドナネマブは投与開始日の記載がないためMMSEベースライン評価日の範囲（2025年3月8日〜2026年7月28日）で代用し、合わせて「2024年1月〜2026年7月」としました。</w:t>
      </w:r>
    </w:p>
    <w:p>
      <w:pPr>
        <w:spacing w:after="100"/>
        <w:ind w:left="340" w:hanging="340"/>
        <w:jc w:val="both"/>
      </w:pPr>
      <w:r>
        <w:rPr>
          <w:rFonts w:ascii="Century" w:eastAsia="ＭＳ 明朝" w:hAnsi="Century"/>
          <w:color w:val="444444"/>
          <w:sz w:val="19"/>
          <w:szCs w:val="19"/>
        </w:rPr>
        <w:t xml:space="preserve">4.　初回の時間見当識の差（p=0.02）を患者背景として本文に明記しています。所見を弱めるためではなく、天井効果の可能性を読者が判断できるようにするためです。伏せた場合、「改善群は初回値が低かったのではないか」という質疑に答えられません。</w:t>
      </w:r>
    </w:p>
    <w:p>
      <w:pPr>
        <w:spacing w:after="100"/>
        <w:ind w:left="340" w:hanging="340"/>
        <w:jc w:val="both"/>
      </w:pPr>
      <w:r>
        <w:rPr>
          <w:rFonts w:ascii="Century" w:eastAsia="ＭＳ 明朝" w:hAnsi="Century"/>
          <w:color w:val="444444"/>
          <w:sz w:val="19"/>
          <w:szCs w:val="19"/>
        </w:rPr>
        <w:t xml:space="preserve">5.　抽出時に判断を要した点（推測による補正はしていません）: L35は投与開始日が「204/12/12」と3桁年、L44は「2025/2/29」と暦上存在しない日付のため欠測扱い。L51は記載なし。L36・L38・L41・L45・L52・L65は性別が全角「Ｍ」のため正規化。D31は性別の記載なし。</w:t>
      </w:r>
    </w:p>
    <w:p>
      <w:pPr>
        <w:spacing w:after="100"/>
        <w:ind w:left="340" w:hanging="340"/>
        <w:jc w:val="both"/>
      </w:pPr>
      <w:r>
        <w:rPr>
          <w:rFonts w:ascii="Century" w:eastAsia="ＭＳ 明朝" w:hAnsi="Century"/>
          <w:color w:val="444444"/>
          <w:sz w:val="19"/>
          <w:szCs w:val="19"/>
        </w:rPr>
        <w:t xml:space="preserve">6.　一覧表と解析用データで初回MMSEが食い違う症例が5例ありました（L5: 22対25、L6: 23対24、L8: 22対19、L37: 30対22、L62: 21対27）。66例中61例は一致しています。いずれも本抄録の解析対象14例には含まれないため抄録の数値には影響しませんが、L37はNPI原票がある症例であり今後の解析に関わります。原資料でのご確認をお勧めします。</w:t>
      </w:r>
    </w:p>
    <w:p>
      <w:pPr>
        <w:spacing w:after="100"/>
        <w:ind w:left="340" w:hanging="340"/>
        <w:jc w:val="both"/>
      </w:pPr>
      <w:r>
        <w:rPr>
          <w:rFonts w:ascii="Century" w:eastAsia="ＭＳ 明朝" w:hAnsi="Century"/>
          <w:color w:val="444444"/>
          <w:sz w:val="19"/>
          <w:szCs w:val="19"/>
        </w:rPr>
        <w:t xml:space="preserve">7.　改善群2例の最終評価時点は6か月と24か月です。n=2のため平均±標準偏差（15.0±12.7か月）の解釈には注意を要します。「最終評価時点は6か月と24か月であった」と個別に記載する書き方も可能です。</w:t>
      </w:r>
    </w:p>
    <w:p>
      <w:pPr>
        <w:spacing w:after="100"/>
        <w:ind w:left="340" w:hanging="340"/>
        <w:jc w:val="both"/>
      </w:pPr>
      <w:r>
        <w:rPr>
          <w:rFonts w:ascii="Century" w:eastAsia="ＭＳ 明朝" w:hAnsi="Century"/>
          <w:color w:val="444444"/>
          <w:sz w:val="19"/>
          <w:szCs w:val="19"/>
        </w:rPr>
        <w:t xml:space="preserve">8.　著者・所属は前回抄録（日本神経学会 No.1000218）の並びを踏襲しています。本文は約1,000字です（前回抄録は913字）。字数制限に応じて短縮する場合は、【結果】の追跡時MMSE・CDR-SBの数値を削るのが最小の情報損失となります。</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2026-09-18T11:30:38.162Z</dcterms:created>
  <dcterms:modified xsi:type="dcterms:W3CDTF">2026-09-18T11:30:38.165Z</dcterms:modified>
</cp:coreProperties>
</file>

<file path=docProps/custom.xml><?xml version="1.0" encoding="utf-8"?>
<Properties xmlns="http://schemas.openxmlformats.org/officeDocument/2006/custom-properties" xmlns:vt="http://schemas.openxmlformats.org/officeDocument/2006/docPropsVTypes"/>
</file>