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抗アミロイドβ抗体療法中にNPI-Apathy scoreが低下した症例の認知機能の推移に関する探索的検討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Cognitive trajectories in patients whose NPI apathy score decreased during anti-amyloid-beta antibody therapy: an exploratory study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アパシーはアルツハイマー病（AD）に高頻度に伴い，認知機能低下の予測因子となりうる．Neuropsychiatric Inventory（NPI）のアパシー項目は，介護者への聴取に基づき頻度（1〜4）と重症度（1〜3）の積を0〜12点として採点する評価尺度である．本研究では，抗アミロイドβ抗体療法中にNPI-Apathy scoreが低下した症例と低下しなかった症例について，認知機能の推移を探索的に比較した．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対象は当院で2024年1月〜2026年7月に抗アミロイドβ抗体療法を行った96例．NPI-Apathy scoreを初回と追跡時の両方で算出できた21例のうち，MMSEとCDRも追跡できた14例（全例レカネマブ）を解析対象とした．初回から追跡時に1点以上低下した例を「低下例」，それ以外を「非低下例」とした．この群分けは既存データを確認したのちに設定したものである．非低下例には初回0点の症例を含むため，両群の比較は治療反応性の比較ではない．認知機能はNPI追跡評価日に最も近い時点の値を用いた．MMSE合計点と下位項目の合計が一致することを解析対象全例で確認した．例数が少ないため統計学的検定は行わず，記述に留め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低下例は2例（14.3％），非低下例は12例（85.7％）であった．初回NPI-Apathy scoreは，非低下例では0点10例，1点1例，2点1例であり，低下例は2例とも1点から0点へ低下した．初回時の背景は低下例／非低下例の順に，年齢78.0±4.2／74.8±4.6歳，女性2/2例／7/12例，MMSE合計22.5±0.7／24.9±2.0点，CDR-SB 1.8±0.4／1.5±0.7点，時間見当識2.0±0.0／4.2±1.0点であり，時間見当識は低下例で低かった．評価時点は低下例が6か月・24か月各1例，非低下例が6か月4例，12か月3例，18か月4例，24か月1例であった．変化量は低下例／非低下例の順に，MMSE合計＋1.5±2.1／−0.5±1.9点，CDR-SB ＋1.0±1.4／＋0.9±0.8点，時間見当識＋1.5±0.7／−0.8±0.8点であった．時間見当識が改善したのは低下例2/2例，非低下例0/12例であった．低下例の1例目は75歳女性で，24か月時点にMMSE 23→23点（時間見当識2→3，注意計算5→3，図形模写0→1），CDR-SB 2.0→4.0点（記憶，判断力・問題解決，地域社会の活動，家庭・趣味が各0.5点悪化）であった．2例目は81歳女性で，6か月時点にMMSE 22→25点（時間見当識2→4，場所見当識4→5，注意計算3→4，遅延再生1→0），CDR-SB 1.5→1.5点で6領域とも不変であった．2例とも易怒性が新規に出現した．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NPI-Apathy scoreが低下した2例では時間見当識がともに改善し，非低下例に改善例はなかった．ただし低下例2例の初回時間見当識は2点と非低下例より低く改善の余地が大きかったため，床効果や平均への回帰の影響を否定できない．評価時点も両群で揃っていない．低下例2例では時間見当識以外の下位項目の変化は一様でなく，またそれらについて群間比較を行っていないため，本所見は時間見当識に特異的な関連を示すものではない．また全例が治療例であり，薬剤の効果を論じることはできない．今後，初回にアパシーを認める症例を蓄積して報告す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群分け（NPI-Apathy scoreが1点以上低下＝低下例、それ以外＝非低下例）は、既存データを確認したのちに設定したものです。研究開始前に規定した解析ではないため、本文でも「探索的に」と記載し、事前規定の主要評価項目という表現は用いていません。</w:t>
      </w:r>
    </w:p>
    <w:p>
      <w:pPr>
        <w:spacing w:after="100"/>
        <w:ind w:left="340" w:hanging="340"/>
        <w:jc w:val="both"/>
      </w:pPr>
      <w:r>
        <w:rPr>
          <w:rFonts w:ascii="Century" w:eastAsia="ＭＳ 明朝" w:hAnsi="Century"/>
          <w:color w:val="444444"/>
          <w:sz w:val="19"/>
          <w:szCs w:val="19"/>
        </w:rPr>
        <w:t xml:space="preserve">2.　時間見当識について。低下例2例はいずれも改善し、非低下例12例に改善例はありませんでした。ただし低下例の初回時間見当識は2.0±0.0点、非低下例は4.2±1.0点で、低下例のほうが改善の余地が大きい状態から出発しています。他の下位項目に変化が乏しかったことは、それらがアパシーの推移と関連しないことを意味しません。このため本文では、時間見当識に特異的な関連があるという主張はしていません。</w:t>
      </w:r>
    </w:p>
    <w:p>
      <w:pPr>
        <w:spacing w:after="100"/>
        <w:ind w:left="340" w:hanging="340"/>
        <w:jc w:val="both"/>
      </w:pPr>
      <w:r>
        <w:rPr>
          <w:rFonts w:ascii="Century" w:eastAsia="ＭＳ 明朝" w:hAnsi="Century"/>
          <w:color w:val="444444"/>
          <w:sz w:val="19"/>
          <w:szCs w:val="19"/>
        </w:rPr>
        <w:t xml:space="preserve">3.　評価時点は低下例が6か月・24か月各1例、非低下例が6か月4例・12か月3例・18か月4例・24か月1例で、両群でそろっていません。この点は【方法】と【結論】に明記しました。なお評価日が年月のみ、または未記載の症例があるため、観察期間（月）は14例中11例でしか算出できません。本文では算出できた月数ではなく、記録されている評価時点のラベルを用いています。</w:t>
      </w:r>
    </w:p>
    <w:p>
      <w:pPr>
        <w:spacing w:after="100"/>
        <w:ind w:left="340" w:hanging="340"/>
        <w:jc w:val="both"/>
      </w:pPr>
      <w:r>
        <w:rPr>
          <w:rFonts w:ascii="Century" w:eastAsia="ＭＳ 明朝" w:hAnsi="Century"/>
          <w:color w:val="444444"/>
          <w:sz w:val="19"/>
          <w:szCs w:val="19"/>
        </w:rPr>
        <w:t xml:space="preserve">4.　例数が少ないため統計学的検定は行わず、記述に留めました。参考までに解析ファイルには完全並べ替えによるp値を収載しています（初回時間見当識および時間見当識変化量でp=0.011）。ただし2例対12例では到達しうる最小の両側p値が0.011であり、この例数の分解能の限界にあたります。多重性の調整も行っていないため、確証的には解釈できません。</w:t>
      </w:r>
    </w:p>
    <w:p>
      <w:pPr>
        <w:spacing w:after="100"/>
        <w:ind w:left="340" w:hanging="340"/>
        <w:jc w:val="both"/>
      </w:pPr>
      <w:r>
        <w:rPr>
          <w:rFonts w:ascii="Century" w:eastAsia="ＭＳ 明朝" w:hAnsi="Century"/>
          <w:color w:val="444444"/>
          <w:sz w:val="19"/>
          <w:szCs w:val="19"/>
        </w:rPr>
        <w:t xml:space="preserve">5.　MMSEの点数について。解析用ファイル内部では、対象14例のすべての評価時点で合計点と下位項目の合計が一致することを確認しました（不一致0件）。本文に記載した下位項目の変化も、その総和が合計点の変化と一致します（1例目 ±0点、2例目 +3点）。旧稿では1例目の図形模写0→1と2例目の注意計算3→4が省略されていたため、総和が合計点と合いませんでした。値の訂正・補完は行っていません。</w:t>
      </w:r>
    </w:p>
    <w:p>
      <w:pPr>
        <w:spacing w:after="100"/>
        <w:ind w:left="340" w:hanging="340"/>
        <w:jc w:val="both"/>
      </w:pPr>
      <w:r>
        <w:rPr>
          <w:rFonts w:ascii="Century" w:eastAsia="ＭＳ 明朝" w:hAnsi="Century"/>
          <w:color w:val="444444"/>
          <w:sz w:val="19"/>
          <w:szCs w:val="19"/>
        </w:rPr>
        <w:t xml:space="preserve">6.　ただし添付PDFの原票そのものとの照合は、この作業環境では行えていません。上記はあくまで解析用ファイル内部の整合性です。提出前に原票との照合をお願いします。なお対象外ではL45（12か月、合計19に対し下位項目合計17）とD16（6か月、21に対し19）に不一致があります。</w:t>
      </w:r>
    </w:p>
    <w:p>
      <w:pPr>
        <w:spacing w:after="100"/>
        <w:ind w:left="340" w:hanging="340"/>
        <w:jc w:val="both"/>
      </w:pPr>
      <w:r>
        <w:rPr>
          <w:rFonts w:ascii="Century" w:eastAsia="ＭＳ 明朝" w:hAnsi="Century"/>
          <w:color w:val="444444"/>
          <w:sz w:val="19"/>
          <w:szCs w:val="19"/>
        </w:rPr>
        <w:t xml:space="preserve">7.　「非低下例の初回NPI-Apathy score 0点10例」は、旧稿では平均値からの推定値でしたが、元データを数え直して確定しました。非低下例12例の内訳は0点10例、1点1例、2点1例です。</w:t>
      </w:r>
    </w:p>
    <w:p>
      <w:pPr>
        <w:spacing w:after="100"/>
        <w:ind w:left="340" w:hanging="340"/>
        <w:jc w:val="both"/>
      </w:pPr>
      <w:r>
        <w:rPr>
          <w:rFonts w:ascii="Century" w:eastAsia="ＭＳ 明朝" w:hAnsi="Century"/>
          <w:color w:val="444444"/>
          <w:sz w:val="19"/>
          <w:szCs w:val="19"/>
        </w:rPr>
        <w:t xml:space="preserve">8.　NPIの説明は「介護者への聴取に基づき、頻度と重症度の積を0〜12点として採点する評価尺度」としました。情報提供者からの聴取に基づく尺度であり、客観的指標とは呼べないためです。NPIの版（NPI-10/12、NPI-NH等）は元ファイルのいずれにも記載がないため、版は断定していません。また聴取者や聴取方法が期間を通じて一定であったかを確認できる項目がファイルにないため、この点も記載していません。</w:t>
      </w:r>
    </w:p>
    <w:p>
      <w:pPr>
        <w:spacing w:after="100"/>
        <w:ind w:left="340" w:hanging="340"/>
        <w:jc w:val="both"/>
      </w:pPr>
      <w:r>
        <w:rPr>
          <w:rFonts w:ascii="Century" w:eastAsia="ＭＳ 明朝" w:hAnsi="Century"/>
          <w:color w:val="444444"/>
          <w:sz w:val="19"/>
          <w:szCs w:val="19"/>
        </w:rPr>
        <w:t xml:space="preserve">9.　対象期間「2024年1月〜2026年7月」は旧稿から引き継いだ記載です。患者背景ファイルに投与開始日が記録されているのは97件中63件で、その範囲は2024年1月13日〜2026年2月18日でした。2026年7月までという期間はこのファイルからは確認できないため、ご確認をお願いします。「96例」はNPIシートにのみ存在するL69を除いた66＋30で、こちらは一致しています。</w:t>
      </w:r>
    </w:p>
    <w:p>
      <w:pPr>
        <w:spacing w:after="100"/>
        <w:ind w:left="340" w:hanging="340"/>
        <w:jc w:val="both"/>
      </w:pPr>
      <w:r>
        <w:rPr>
          <w:rFonts w:ascii="Century" w:eastAsia="ＭＳ 明朝" w:hAnsi="Century"/>
          <w:color w:val="444444"/>
          <w:sz w:val="19"/>
          <w:szCs w:val="19"/>
        </w:rPr>
        <w:t xml:space="preserve">10.　研究デザイン、倫理審査番号、同意取得の方法は、データから確認できないため記載していません。投稿規定で必要であれば追記が必要です。</w:t>
      </w:r>
    </w:p>
    <w:p>
      <w:pPr>
        <w:spacing w:after="100"/>
        <w:ind w:left="340" w:hanging="340"/>
        <w:jc w:val="both"/>
      </w:pPr>
      <w:r>
        <w:rPr>
          <w:rFonts w:ascii="Century" w:eastAsia="ＭＳ 明朝" w:hAnsi="Century"/>
          <w:color w:val="444444"/>
          <w:sz w:val="19"/>
          <w:szCs w:val="19"/>
        </w:rPr>
        <w:t xml:space="preserve">11.　本文は1,432字です（旧稿は約1,050字、前回提出抄録は913字）。両群の初回値と変化量をともに示すため字数が増えています。作業フォルダ内に学会の投稿規定が見つからなかったため、字数制限がある場合はお知らせください。【結果】の背景記載（年齢・女性の割合）と評価時点の内訳を削ると約1,150字、さらに低下例2例のCDR下位項目の内訳を削ると約1,050字になります。</w:t>
      </w:r>
    </w:p>
    <w:p>
      <w:pPr>
        <w:spacing w:after="100"/>
        <w:ind w:left="340" w:hanging="340"/>
        <w:jc w:val="both"/>
      </w:pPr>
      <w:r>
        <w:rPr>
          <w:rFonts w:ascii="Century" w:eastAsia="ＭＳ 明朝" w:hAnsi="Century"/>
          <w:color w:val="444444"/>
          <w:sz w:val="19"/>
          <w:szCs w:val="19"/>
        </w:rPr>
        <w:t xml:space="preserve">12.　全例が治療例であり非治療対照がないため、薬剤の効果は論じられません。本文にもその旨を記載しています。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2026-09-20T10:37:23.946Z</dcterms:created>
  <dcterms:modified xsi:type="dcterms:W3CDTF">2026-09-20T10:37:23.946Z</dcterms:modified>
</cp:coreProperties>
</file>

<file path=docProps/custom.xml><?xml version="1.0" encoding="utf-8"?>
<Properties xmlns="http://schemas.openxmlformats.org/officeDocument/2006/custom-properties" xmlns:vt="http://schemas.openxmlformats.org/officeDocument/2006/docPropsVTypes"/>
</file>