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entury" w:eastAsia="ＭＳ ゴシック" w:hAnsi="Century"/>
          <w:b/>
          <w:bCs/>
          <w:sz w:val="26"/>
          <w:szCs w:val="26"/>
        </w:rPr>
        <w:t xml:space="preserve">学会抄録ドラフト</w:t>
      </w:r>
    </w:p>
    <w:p>
      <w:pPr>
        <w:keepNext/>
        <w:spacing w:after="60" w:before="0"/>
      </w:pPr>
      <w:r>
        <w:rPr>
          <w:rFonts w:ascii="Century" w:eastAsia="ＭＳ ゴシック" w:hAnsi="Century"/>
          <w:b/>
          <w:bCs/>
          <w:sz w:val="21"/>
          <w:szCs w:val="21"/>
        </w:rPr>
        <w:t xml:space="preserve">【利益相反（Conflict of Interest）の有無】</w:t>
      </w:r>
    </w:p>
    <w:p>
      <w:pPr>
        <w:spacing w:after="80" w:line="300" w:lineRule="auto"/>
        <w:jc w:val="both"/>
      </w:pPr>
      <w:r>
        <w:rPr>
          <w:rFonts w:ascii="Century" w:eastAsia="ＭＳ 明朝" w:hAnsi="Century"/>
          <w:sz w:val="21"/>
          <w:szCs w:val="21"/>
        </w:rPr>
        <w:t xml:space="preserve">ない</w:t>
      </w:r>
    </w:p>
    <w:p>
      <w:pPr>
        <w:keepNext/>
        <w:spacing w:after="60" w:before="200"/>
      </w:pPr>
      <w:r>
        <w:rPr>
          <w:rFonts w:ascii="Century" w:eastAsia="ＭＳ ゴシック" w:hAnsi="Century"/>
          <w:b/>
          <w:bCs/>
          <w:sz w:val="21"/>
          <w:szCs w:val="21"/>
        </w:rPr>
        <w:t xml:space="preserve">【演題名】</w:t>
      </w:r>
    </w:p>
    <w:p>
      <w:pPr>
        <w:spacing w:after="80" w:line="300" w:lineRule="auto"/>
        <w:jc w:val="both"/>
      </w:pPr>
      <w:r>
        <w:rPr>
          <w:rFonts w:ascii="Century" w:eastAsia="ＭＳ 明朝" w:hAnsi="Century"/>
          <w:sz w:val="21"/>
          <w:szCs w:val="21"/>
        </w:rPr>
        <w:t xml:space="preserve">抗アミロイドβ抗体療法中にNPI-Apathy scoreが低下した症例の認知機能の推移に関する検討</w:t>
      </w:r>
    </w:p>
    <w:p>
      <w:pPr>
        <w:keepNext/>
        <w:spacing w:after="60" w:before="200"/>
      </w:pPr>
      <w:r>
        <w:rPr>
          <w:rFonts w:ascii="Century" w:eastAsia="ＭＳ ゴシック" w:hAnsi="Century"/>
          <w:b/>
          <w:bCs/>
          <w:sz w:val="21"/>
          <w:szCs w:val="21"/>
        </w:rPr>
        <w:t xml:space="preserve">【演題名(英文)】</w:t>
      </w:r>
    </w:p>
    <w:p>
      <w:pPr>
        <w:spacing w:after="80" w:line="300" w:lineRule="auto"/>
        <w:jc w:val="both"/>
      </w:pPr>
      <w:r>
        <w:rPr>
          <w:rFonts w:ascii="Century" w:eastAsia="ＭＳ 明朝" w:hAnsi="Century"/>
          <w:sz w:val="21"/>
          <w:szCs w:val="21"/>
        </w:rPr>
        <w:t xml:space="preserve">Cognitive trajectories in patients showing a decrease in the NPI apathy score during anti-amyloid-β antibody therapy</w:t>
      </w:r>
    </w:p>
    <w:p>
      <w:pPr>
        <w:keepNext/>
        <w:spacing w:after="60" w:before="200"/>
      </w:pPr>
      <w:r>
        <w:rPr>
          <w:rFonts w:ascii="Century" w:eastAsia="ＭＳ ゴシック" w:hAnsi="Century"/>
          <w:b/>
          <w:bCs/>
          <w:sz w:val="21"/>
          <w:szCs w:val="21"/>
        </w:rPr>
        <w:t xml:space="preserve">【著者】</w:t>
      </w:r>
    </w:p>
    <w:p>
      <w:pPr>
        <w:spacing w:after="80" w:line="300" w:lineRule="auto"/>
        <w:jc w:val="both"/>
      </w:pPr>
      <w:r>
        <w:rPr>
          <w:rFonts w:ascii="Century" w:eastAsia="ＭＳ 明朝" w:hAnsi="Century"/>
          <w:sz w:val="21"/>
          <w:szCs w:val="21"/>
        </w:rPr>
        <w:t xml:space="preserve">堀内 裕介</w:t>
      </w:r>
      <w:r>
        <w:rPr>
          <w:rFonts w:ascii="Century" w:eastAsia="ＭＳ 明朝" w:hAnsi="Century"/>
          <w:sz w:val="21"/>
          <w:szCs w:val="21"/>
          <w:vertAlign w:val="superscript"/>
        </w:rPr>
        <w:t xml:space="preserve">1</w:t>
      </w:r>
      <w:r>
        <w:rPr>
          <w:rFonts w:ascii="Century" w:eastAsia="ＭＳ 明朝" w:hAnsi="Century"/>
          <w:sz w:val="21"/>
          <w:szCs w:val="21"/>
        </w:rPr>
        <w:t xml:space="preserve">，遠藤 芳徳</w:t>
      </w:r>
      <w:r>
        <w:rPr>
          <w:rFonts w:ascii="Century" w:eastAsia="ＭＳ 明朝" w:hAnsi="Century"/>
          <w:sz w:val="21"/>
          <w:szCs w:val="21"/>
          <w:vertAlign w:val="superscript"/>
        </w:rPr>
        <w:t xml:space="preserve">1</w:t>
      </w:r>
      <w:r>
        <w:rPr>
          <w:rFonts w:ascii="Century" w:eastAsia="ＭＳ 明朝" w:hAnsi="Century"/>
          <w:sz w:val="21"/>
          <w:szCs w:val="21"/>
        </w:rPr>
        <w:t xml:space="preserve">，高畠 靖志</w:t>
      </w:r>
      <w:r>
        <w:rPr>
          <w:rFonts w:ascii="Century" w:eastAsia="ＭＳ 明朝" w:hAnsi="Century"/>
          <w:sz w:val="21"/>
          <w:szCs w:val="21"/>
          <w:vertAlign w:val="superscript"/>
        </w:rPr>
        <w:t xml:space="preserve">2</w:t>
      </w:r>
      <w:r>
        <w:rPr>
          <w:rFonts w:ascii="Century" w:eastAsia="ＭＳ 明朝" w:hAnsi="Century"/>
          <w:sz w:val="21"/>
          <w:szCs w:val="21"/>
        </w:rPr>
        <w:t xml:space="preserve">，向井 裕修</w:t>
      </w:r>
      <w:r>
        <w:rPr>
          <w:rFonts w:ascii="Century" w:eastAsia="ＭＳ 明朝" w:hAnsi="Century"/>
          <w:sz w:val="21"/>
          <w:szCs w:val="21"/>
          <w:vertAlign w:val="superscript"/>
        </w:rPr>
        <w:t xml:space="preserve">2</w:t>
      </w:r>
      <w:r>
        <w:rPr>
          <w:rFonts w:ascii="Century" w:eastAsia="ＭＳ 明朝" w:hAnsi="Century"/>
          <w:sz w:val="21"/>
          <w:szCs w:val="21"/>
        </w:rPr>
        <w:t xml:space="preserve">，上野 亜佐子</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【著者(英文)】</w:t>
      </w:r>
    </w:p>
    <w:p>
      <w:pPr>
        <w:spacing w:after="80" w:line="300" w:lineRule="auto"/>
        <w:jc w:val="both"/>
      </w:pPr>
      <w:r>
        <w:rPr>
          <w:rFonts w:ascii="Century" w:eastAsia="ＭＳ 明朝" w:hAnsi="Century"/>
          <w:sz w:val="21"/>
          <w:szCs w:val="21"/>
        </w:rPr>
        <w:t xml:space="preserve">Yusuke Horiuchi</w:t>
      </w:r>
      <w:r>
        <w:rPr>
          <w:rFonts w:ascii="Century" w:eastAsia="ＭＳ 明朝" w:hAnsi="Century"/>
          <w:sz w:val="21"/>
          <w:szCs w:val="21"/>
          <w:vertAlign w:val="superscript"/>
        </w:rPr>
        <w:t xml:space="preserve">1</w:t>
      </w:r>
      <w:r>
        <w:rPr>
          <w:rFonts w:ascii="Century" w:eastAsia="ＭＳ 明朝" w:hAnsi="Century"/>
          <w:sz w:val="21"/>
          <w:szCs w:val="21"/>
        </w:rPr>
        <w:t xml:space="preserve">，Yoshinori Endo</w:t>
      </w:r>
      <w:r>
        <w:rPr>
          <w:rFonts w:ascii="Century" w:eastAsia="ＭＳ 明朝" w:hAnsi="Century"/>
          <w:sz w:val="21"/>
          <w:szCs w:val="21"/>
          <w:vertAlign w:val="superscript"/>
        </w:rPr>
        <w:t xml:space="preserve">1</w:t>
      </w:r>
      <w:r>
        <w:rPr>
          <w:rFonts w:ascii="Century" w:eastAsia="ＭＳ 明朝" w:hAnsi="Century"/>
          <w:sz w:val="21"/>
          <w:szCs w:val="21"/>
        </w:rPr>
        <w:t xml:space="preserve">，Yasushi Takabatake</w:t>
      </w:r>
      <w:r>
        <w:rPr>
          <w:rFonts w:ascii="Century" w:eastAsia="ＭＳ 明朝" w:hAnsi="Century"/>
          <w:sz w:val="21"/>
          <w:szCs w:val="21"/>
          <w:vertAlign w:val="superscript"/>
        </w:rPr>
        <w:t xml:space="preserve">2</w:t>
      </w:r>
      <w:r>
        <w:rPr>
          <w:rFonts w:ascii="Century" w:eastAsia="ＭＳ 明朝" w:hAnsi="Century"/>
          <w:sz w:val="21"/>
          <w:szCs w:val="21"/>
        </w:rPr>
        <w:t xml:space="preserve">，Hironobu Mukai</w:t>
      </w:r>
      <w:r>
        <w:rPr>
          <w:rFonts w:ascii="Century" w:eastAsia="ＭＳ 明朝" w:hAnsi="Century"/>
          <w:sz w:val="21"/>
          <w:szCs w:val="21"/>
          <w:vertAlign w:val="superscript"/>
        </w:rPr>
        <w:t xml:space="preserve">2</w:t>
      </w:r>
      <w:r>
        <w:rPr>
          <w:rFonts w:ascii="Century" w:eastAsia="ＭＳ 明朝" w:hAnsi="Century"/>
          <w:sz w:val="21"/>
          <w:szCs w:val="21"/>
        </w:rPr>
        <w:t xml:space="preserve">，Asako Ueno</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【所属】</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福井県済生会病院 脳神経内科，</w:t>
      </w:r>
      <w:r>
        <w:rPr>
          <w:rFonts w:ascii="Century" w:eastAsia="ＭＳ 明朝" w:hAnsi="Century"/>
          <w:sz w:val="21"/>
          <w:szCs w:val="21"/>
          <w:vertAlign w:val="superscript"/>
        </w:rPr>
        <w:t xml:space="preserve">2</w:t>
      </w:r>
      <w:r>
        <w:rPr>
          <w:rFonts w:ascii="Century" w:eastAsia="ＭＳ 明朝" w:hAnsi="Century"/>
          <w:sz w:val="21"/>
          <w:szCs w:val="21"/>
        </w:rPr>
        <w:t xml:space="preserve">福井県済生会病院 脳神経外科</w:t>
      </w:r>
    </w:p>
    <w:p>
      <w:pPr>
        <w:keepNext/>
        <w:spacing w:after="60" w:before="200"/>
      </w:pPr>
      <w:r>
        <w:rPr>
          <w:rFonts w:ascii="Century" w:eastAsia="ＭＳ ゴシック" w:hAnsi="Century"/>
          <w:b/>
          <w:bCs/>
          <w:sz w:val="21"/>
          <w:szCs w:val="21"/>
        </w:rPr>
        <w:t xml:space="preserve">【所属(英文)】</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Department of Neurology, Fukuiken Saiseikai Hospital, Japan，</w:t>
      </w:r>
      <w:r>
        <w:rPr>
          <w:rFonts w:ascii="Century" w:eastAsia="ＭＳ 明朝" w:hAnsi="Century"/>
          <w:sz w:val="21"/>
          <w:szCs w:val="21"/>
          <w:vertAlign w:val="superscript"/>
        </w:rPr>
        <w:t xml:space="preserve">2</w:t>
      </w:r>
      <w:r>
        <w:rPr>
          <w:rFonts w:ascii="Century" w:eastAsia="ＭＳ 明朝" w:hAnsi="Century"/>
          <w:sz w:val="21"/>
          <w:szCs w:val="21"/>
        </w:rPr>
        <w:t xml:space="preserve">Department of Neurosurgery, Fukuiken Saiseikai Hospital, Japan</w:t>
      </w:r>
    </w:p>
    <w:p>
      <w:pPr>
        <w:pBdr>
          <w:bottom w:val="single" w:color="999999" w:sz="6" w:space="1"/>
        </w:pBdr>
        <w:spacing w:after="160" w:before="160"/>
      </w:pPr>
    </w:p>
    <w:p>
      <w:pPr>
        <w:keepNext/>
        <w:spacing w:after="60" w:before="0"/>
      </w:pPr>
      <w:r>
        <w:rPr>
          <w:rFonts w:ascii="Century" w:eastAsia="ＭＳ ゴシック" w:hAnsi="Century"/>
          <w:b/>
          <w:bCs/>
          <w:sz w:val="21"/>
          <w:szCs w:val="21"/>
        </w:rPr>
        <w:t xml:space="preserve">【目的】</w:t>
      </w:r>
    </w:p>
    <w:p>
      <w:pPr>
        <w:spacing w:after="80" w:line="300" w:lineRule="auto"/>
        <w:jc w:val="both"/>
      </w:pPr>
      <w:r>
        <w:rPr>
          <w:rFonts w:ascii="Century" w:eastAsia="ＭＳ 明朝" w:hAnsi="Century"/>
          <w:sz w:val="21"/>
          <w:szCs w:val="21"/>
        </w:rPr>
        <w:t xml:space="preserve">アパシーはアルツハイマー病（AD）に高頻度に伴い認知機能低下の予測因子となりうるが，主観的な評価は再現性に乏しい．本研究ではNeuropsychiatric Inventory（NPI）-Apathy scoreを客観的指標とし，抗アミロイドβ抗体療法中にスコアが低下した例の認知機能の推移を検討した．</w:t>
      </w:r>
    </w:p>
    <w:p>
      <w:pPr>
        <w:keepNext/>
        <w:spacing w:after="60" w:before="200"/>
      </w:pPr>
      <w:r>
        <w:rPr>
          <w:rFonts w:ascii="Century" w:eastAsia="ＭＳ ゴシック" w:hAnsi="Century"/>
          <w:b/>
          <w:bCs/>
          <w:sz w:val="21"/>
          <w:szCs w:val="21"/>
        </w:rPr>
        <w:t xml:space="preserve">【方法】</w:t>
      </w:r>
    </w:p>
    <w:p>
      <w:pPr>
        <w:spacing w:after="80" w:line="300" w:lineRule="auto"/>
        <w:jc w:val="both"/>
      </w:pPr>
      <w:r>
        <w:rPr>
          <w:rFonts w:ascii="Century" w:eastAsia="ＭＳ 明朝" w:hAnsi="Century"/>
          <w:sz w:val="21"/>
          <w:szCs w:val="21"/>
        </w:rPr>
        <w:t xml:space="preserve">対象は当院で2024年1月〜2026年7月までに抗アミロイドβ抗体療法を行った96例．NPI-Apathyscore（頻度×重症度，0〜12点）が初回と追跡時の両方で算出できた21例のうち，MMSE・CDRの追跡も可能であった14例（全例レカネマブ）を解析対象とした．スコアが1点以上低下した例をアパシー改善群とし，非改善群とMMSE・CDR-SBおよび各下位項目を比較した．認知機能はNPI追跡評価日に最も近い時点の値を用いた（6〜24か月）．少数例のため記述統計を主とし，検定（Mann-Whitney U，Fisher）は参考値とした．</w:t>
      </w:r>
    </w:p>
    <w:p>
      <w:pPr>
        <w:keepNext/>
        <w:spacing w:after="60" w:before="200"/>
      </w:pPr>
      <w:r>
        <w:rPr>
          <w:rFonts w:ascii="Century" w:eastAsia="ＭＳ ゴシック" w:hAnsi="Century"/>
          <w:b/>
          <w:bCs/>
          <w:sz w:val="21"/>
          <w:szCs w:val="21"/>
        </w:rPr>
        <w:t xml:space="preserve">【結果】</w:t>
      </w:r>
    </w:p>
    <w:p>
      <w:pPr>
        <w:spacing w:after="80" w:line="300" w:lineRule="auto"/>
        <w:jc w:val="both"/>
      </w:pPr>
      <w:r>
        <w:rPr>
          <w:rFonts w:ascii="Century" w:eastAsia="ＭＳ 明朝" w:hAnsi="Century"/>
          <w:sz w:val="21"/>
          <w:szCs w:val="21"/>
        </w:rPr>
        <w:t xml:space="preserve">非改善群は12/14例（85.7％）で，年齢74.8±4.6歳，女性58％，NPI-Apathy score 初回0.25±0.62・追跡時0.83±1.19，初回MMSE 24.9±2.0・CDR-SB 1.5±0.7・時間見当識4.2±1.0であった．スコアが1点以上低下したのは2/14例（14.3％）で，いずれも女性，スコアは1点から0点へ低下した．1例目は75歳，24か月後にMMSE 23→23点，CDR-SB 2.0→4.0点，時間見当識2→3点，その他は注意計算5→3点，CDR下位項目は4領域が各0.5点悪化した．2例目は81歳，6か月後にMMSE 22→25点，CDR-SB 1.5→1.5点，時間見当識2→4点，その他は場所見当識4→5点・遅延再生1→0点，CDR下位項目は不変であった．両例とも時間見当識が改善し，14例中で改善を示したのはこの2例のみであった（p=0.01）．時間見当識以外のMMSE下位項目およびCDR下位6項目の変化量に群間差を認めなかった（p=0.35〜0.92）．2例とも易怒性が新規出現していた．</w:t>
      </w:r>
    </w:p>
    <w:p>
      <w:pPr>
        <w:keepNext/>
        <w:spacing w:after="60" w:before="200"/>
      </w:pPr>
      <w:r>
        <w:rPr>
          <w:rFonts w:ascii="Century" w:eastAsia="ＭＳ ゴシック" w:hAnsi="Century"/>
          <w:b/>
          <w:bCs/>
          <w:sz w:val="21"/>
          <w:szCs w:val="21"/>
        </w:rPr>
        <w:t xml:space="preserve">【結論】</w:t>
      </w:r>
    </w:p>
    <w:p>
      <w:pPr>
        <w:spacing w:after="80" w:line="300" w:lineRule="auto"/>
        <w:jc w:val="both"/>
      </w:pPr>
      <w:r>
        <w:rPr>
          <w:rFonts w:ascii="Century" w:eastAsia="ＭＳ 明朝" w:hAnsi="Century"/>
          <w:sz w:val="21"/>
          <w:szCs w:val="21"/>
        </w:rPr>
        <w:t xml:space="preserve">抗アミロイドβ抗体療法中にNPI-Apathy scoreが低下した2例では，MMSE合計とCDR-SBの推移は一致しなかったが，MMSE時間見当識は2例とも改善し，14例中で改善を示したのはこの2例のみであった．時間見当識以外のMMSE下位項目およびCDR下位項目には群間差を認めず，アパシーの改善は全般的な認知機能よりも特定の下位項目と関連する可能性がある．ただし改善群は初回の時間見当識が低く，平均への回帰の可能性も否定できない．2例とも易怒性が新規出現しており，NPIの項目ごとに推移は異なりうる．症例数が限られ統計学的検証には至らず，今後，症例を蓄積して報告する．</w:t>
      </w:r>
    </w:p>
    <w:p>
      <w:r>
        <w:br w:type="page"/>
      </w:r>
    </w:p>
    <w:p>
      <w:pPr>
        <w:spacing w:after="200"/>
      </w:pPr>
      <w:r>
        <w:rPr>
          <w:rFonts w:ascii="Century" w:eastAsia="ＭＳ ゴシック" w:hAnsi="Century"/>
          <w:b/>
          <w:bCs/>
          <w:sz w:val="21"/>
          <w:szCs w:val="21"/>
        </w:rPr>
        <w:t xml:space="preserve">作成にあたっての確認事項（抄録本文には含めません。提出前にこのページを削除してください）</w:t>
      </w:r>
    </w:p>
    <w:p>
      <w:pPr>
        <w:spacing w:after="100"/>
        <w:ind w:left="340" w:hanging="340"/>
        <w:jc w:val="both"/>
      </w:pPr>
      <w:r>
        <w:rPr>
          <w:rFonts w:ascii="Century" w:eastAsia="ＭＳ 明朝" w:hAnsi="Century"/>
          <w:color w:val="444444"/>
          <w:sz w:val="19"/>
          <w:szCs w:val="19"/>
        </w:rPr>
        <w:t xml:space="preserve">1.　【議事録のご質問への回答】CDR下位項目の関連は、このチャット内で確認済みです。CDR下位6項目（記憶・見当識・判断力と問題解決・地域社会の活動・家庭生活および趣味関心・介護状況）は deep_analysis.py、baseline_apathy_analysis.py、apathy_improvers_analysis.py、abstract_d_analysis.py、apathy_score_analysis.py の5本すべてで転帰に含めており、4本のレポートに結果が出力されています。したがって「CDR下位項目にも群間差はなかった」という記載は実測に基づいています。</w:t>
      </w:r>
    </w:p>
    <w:p>
      <w:pPr>
        <w:spacing w:after="100"/>
        <w:ind w:left="340" w:hanging="340"/>
        <w:jc w:val="both"/>
      </w:pPr>
      <w:r>
        <w:rPr>
          <w:rFonts w:ascii="Century" w:eastAsia="ＭＳ 明朝" w:hAnsi="Century"/>
          <w:color w:val="444444"/>
          <w:sz w:val="19"/>
          <w:szCs w:val="19"/>
        </w:rPr>
        <w:t xml:space="preserve">2.　CDR下位6項目の変化量（非改善群 vs 改善群、p）: 記憶 +0.17±0.25 vs +0.25±0.35（0.79）、見当識 +0.25±0.26 vs 0.00±0.00（0.35）、判断力・問題解決 +0.04±0.14 vs +0.25±0.35（0.44）、地域社会の活動 +0.17±0.25 vs +0.25±0.35（0.79）、家庭・趣味 +0.21±0.33 vs +0.25±0.35（0.92）、身の回りの世話 +0.08±0.29 vs 0.00±0.00（0.92）。いずれも差はありません。</w:t>
      </w:r>
    </w:p>
    <w:p>
      <w:pPr>
        <w:spacing w:after="100"/>
        <w:ind w:left="340" w:hanging="340"/>
        <w:jc w:val="both"/>
      </w:pPr>
      <w:r>
        <w:rPr>
          <w:rFonts w:ascii="Century" w:eastAsia="ＭＳ 明朝" w:hAnsi="Century"/>
          <w:color w:val="444444"/>
          <w:sz w:val="19"/>
          <w:szCs w:val="19"/>
        </w:rPr>
        <w:t xml:space="preserve">3.　MMSE下位項目（時間見当識以外）の変化量: 場所見当識 p=0.55、記銘 0.79、注意計算 0.92、遅延再生 0.66、復唱 0.92、図形模写 0.35。物品呼称・読字理解・3段階命令・書字は両群とも全例不変で算出不能。時間見当識のみ −0.8±0.8 vs +1.5±0.7（p=0.02）で差を認めました。本文の「p=0.35〜0.92」は上記12項目の範囲です。</w:t>
      </w:r>
    </w:p>
    <w:p>
      <w:pPr>
        <w:spacing w:after="100"/>
        <w:ind w:left="340" w:hanging="340"/>
        <w:jc w:val="both"/>
      </w:pPr>
      <w:r>
        <w:rPr>
          <w:rFonts w:ascii="Century" w:eastAsia="ＭＳ 明朝" w:hAnsi="Century"/>
          <w:color w:val="444444"/>
          <w:sz w:val="19"/>
          <w:szCs w:val="19"/>
        </w:rPr>
        <w:t xml:space="preserve">4.　議事録の「統計的検定が成立しない可能性」への対応として、方法に「少数例のため記述統計を主とし、検定は参考値とした」と明記し、結果は2例の個別記載を中心に構成しました。残した検定値は、14例中で時間見当識が改善したのが改善群2例のみであること（Fisher、p=0.01）と、他の下位項目に差がないこと（Mann-Whitney U、p=0.35〜0.92）の2つのみです。いずれも正確法であり少数例でも成立しますが、検定値を一切載せない版が必要であればご指示ください。</w:t>
      </w:r>
    </w:p>
    <w:p>
      <w:pPr>
        <w:spacing w:after="100"/>
        <w:ind w:left="340" w:hanging="340"/>
        <w:jc w:val="both"/>
      </w:pPr>
      <w:r>
        <w:rPr>
          <w:rFonts w:ascii="Century" w:eastAsia="ＭＳ 明朝" w:hAnsi="Century"/>
          <w:color w:val="444444"/>
          <w:sz w:val="19"/>
          <w:szCs w:val="19"/>
        </w:rPr>
        <w:t xml:space="preserve">5.　「相関性がなかった」は本文では「群間差を認めなかった」としました。今回行ったのは2群比較であり相関解析ではないためです。相関という語を使うと「何と何の相関か」を質疑で問われます。なお相関解析自体は別途実施しており（全コホート458組の総当たりSpearman相関）、そちらでもNPIと認知機能下位項目を結ぶ所見は得られていません。</w:t>
      </w:r>
    </w:p>
    <w:p>
      <w:pPr>
        <w:spacing w:after="100"/>
        <w:ind w:left="340" w:hanging="340"/>
        <w:jc w:val="both"/>
      </w:pPr>
      <w:r>
        <w:rPr>
          <w:rFonts w:ascii="Century" w:eastAsia="ＭＳ 明朝" w:hAnsi="Century"/>
          <w:color w:val="444444"/>
          <w:sz w:val="19"/>
          <w:szCs w:val="19"/>
        </w:rPr>
        <w:t xml:space="preserve">6.　1例目は24か月後、2例目は6か月後の評価です。NPI追跡評価日に最も近い認知機能評価時点を採用したためで、方法に明記し、本文でも各例の月数を併記しました。</w:t>
      </w:r>
    </w:p>
    <w:p>
      <w:pPr>
        <w:spacing w:after="100"/>
        <w:ind w:left="340" w:hanging="340"/>
        <w:jc w:val="both"/>
      </w:pPr>
      <w:r>
        <w:rPr>
          <w:rFonts w:ascii="Century" w:eastAsia="ＭＳ 明朝" w:hAnsi="Century"/>
          <w:color w:val="444444"/>
          <w:sz w:val="19"/>
          <w:szCs w:val="19"/>
        </w:rPr>
        <w:t xml:space="preserve">7.　本文は約1,170字です（前回抄録は913字）。2例の個別記載を加えた分が増えています。字数制限がある場合は、各例の「その他は…」の部分を削ると約1,080字になります。</w:t>
      </w:r>
    </w:p>
    <w:p>
      <w:pPr>
        <w:spacing w:after="100"/>
        <w:ind w:left="340" w:hanging="340"/>
        <w:jc w:val="both"/>
      </w:pPr>
      <w:r>
        <w:rPr>
          <w:rFonts w:ascii="Century" w:eastAsia="ＭＳ 明朝" w:hAnsi="Century"/>
          <w:color w:val="444444"/>
          <w:sz w:val="19"/>
          <w:szCs w:val="19"/>
        </w:rPr>
        <w:t xml:space="preserve">8.　演題名・著者・所属・目的は、いただいた抄録案のまま変更していません。</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2026-09-20T08:25:52.521Z</dcterms:created>
  <dcterms:modified xsi:type="dcterms:W3CDTF">2026-09-20T08:25:52.532Z</dcterms:modified>
</cp:coreProperties>
</file>

<file path=docProps/custom.xml><?xml version="1.0" encoding="utf-8"?>
<Properties xmlns="http://schemas.openxmlformats.org/officeDocument/2006/custom-properties" xmlns:vt="http://schemas.openxmlformats.org/officeDocument/2006/docPropsVTypes"/>
</file>