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Century" w:eastAsia="ＭＳ ゴシック" w:hAnsi="Century"/>
          <w:b/>
          <w:bCs/>
          <w:sz w:val="26"/>
          <w:szCs w:val="26"/>
        </w:rPr>
        <w:t xml:space="preserve">学会抄録ドラフト</w:t>
      </w:r>
    </w:p>
    <w:p>
      <w:pPr>
        <w:keepNext/>
        <w:spacing w:after="60" w:before="0"/>
      </w:pPr>
      <w:r>
        <w:rPr>
          <w:rFonts w:ascii="Century" w:eastAsia="ＭＳ ゴシック" w:hAnsi="Century"/>
          <w:b/>
          <w:bCs/>
          <w:sz w:val="21"/>
          <w:szCs w:val="21"/>
        </w:rPr>
        <w:t xml:space="preserve">【利益相反（Conflict of Interest）の有無】</w:t>
      </w:r>
    </w:p>
    <w:p>
      <w:pPr>
        <w:spacing w:after="80" w:line="300" w:lineRule="auto"/>
        <w:jc w:val="both"/>
      </w:pPr>
      <w:r>
        <w:rPr>
          <w:rFonts w:ascii="Century" w:eastAsia="ＭＳ 明朝" w:hAnsi="Century"/>
          <w:sz w:val="21"/>
          <w:szCs w:val="21"/>
        </w:rPr>
        <w:t xml:space="preserve">ない</w:t>
      </w:r>
    </w:p>
    <w:p>
      <w:pPr>
        <w:keepNext/>
        <w:spacing w:after="60" w:before="200"/>
      </w:pPr>
      <w:r>
        <w:rPr>
          <w:rFonts w:ascii="Century" w:eastAsia="ＭＳ ゴシック" w:hAnsi="Century"/>
          <w:b/>
          <w:bCs/>
          <w:sz w:val="21"/>
          <w:szCs w:val="21"/>
        </w:rPr>
        <w:t xml:space="preserve">【演題名】</w:t>
      </w:r>
    </w:p>
    <w:p>
      <w:pPr>
        <w:spacing w:after="80" w:line="300" w:lineRule="auto"/>
        <w:jc w:val="both"/>
      </w:pPr>
      <w:r>
        <w:rPr>
          <w:rFonts w:ascii="Century" w:eastAsia="ＭＳ 明朝" w:hAnsi="Century"/>
          <w:sz w:val="21"/>
          <w:szCs w:val="21"/>
        </w:rPr>
        <w:t xml:space="preserve">抗アミロイドβ抗体療法中にNPIアパシーが消失した症例の認知機能の推移に関する検討</w:t>
      </w:r>
    </w:p>
    <w:p>
      <w:pPr>
        <w:keepNext/>
        <w:spacing w:after="60" w:before="200"/>
      </w:pPr>
      <w:r>
        <w:rPr>
          <w:rFonts w:ascii="Century" w:eastAsia="ＭＳ ゴシック" w:hAnsi="Century"/>
          <w:b/>
          <w:bCs/>
          <w:sz w:val="21"/>
          <w:szCs w:val="21"/>
        </w:rPr>
        <w:t xml:space="preserve">【演題名(英文)】</w:t>
      </w:r>
    </w:p>
    <w:p>
      <w:pPr>
        <w:spacing w:after="80" w:line="300" w:lineRule="auto"/>
        <w:jc w:val="both"/>
      </w:pPr>
      <w:r>
        <w:rPr>
          <w:rFonts w:ascii="Century" w:eastAsia="ＭＳ 明朝" w:hAnsi="Century"/>
          <w:sz w:val="21"/>
          <w:szCs w:val="21"/>
        </w:rPr>
        <w:t xml:space="preserve">Cognitive trajectories in patients whose apathy on the Neuropsychiatric Inventory resolved during anti-amyloid-β antibody therapy</w:t>
      </w:r>
    </w:p>
    <w:p>
      <w:pPr>
        <w:keepNext/>
        <w:spacing w:after="60" w:before="200"/>
      </w:pPr>
      <w:r>
        <w:rPr>
          <w:rFonts w:ascii="Century" w:eastAsia="ＭＳ ゴシック" w:hAnsi="Century"/>
          <w:b/>
          <w:bCs/>
          <w:sz w:val="21"/>
          <w:szCs w:val="21"/>
        </w:rPr>
        <w:t xml:space="preserve">【著者】</w:t>
      </w:r>
    </w:p>
    <w:p>
      <w:pPr>
        <w:spacing w:after="80" w:line="300" w:lineRule="auto"/>
        <w:jc w:val="both"/>
      </w:pPr>
      <w:r>
        <w:rPr>
          <w:rFonts w:ascii="Century" w:eastAsia="ＭＳ 明朝" w:hAnsi="Century"/>
          <w:sz w:val="21"/>
          <w:szCs w:val="21"/>
        </w:rPr>
        <w:t xml:space="preserve">堀内 裕介</w:t>
      </w:r>
      <w:r>
        <w:rPr>
          <w:rFonts w:ascii="Century" w:eastAsia="ＭＳ 明朝" w:hAnsi="Century"/>
          <w:sz w:val="21"/>
          <w:szCs w:val="21"/>
          <w:vertAlign w:val="superscript"/>
        </w:rPr>
        <w:t xml:space="preserve">1</w:t>
      </w:r>
      <w:r>
        <w:rPr>
          <w:rFonts w:ascii="Century" w:eastAsia="ＭＳ 明朝" w:hAnsi="Century"/>
          <w:sz w:val="21"/>
          <w:szCs w:val="21"/>
        </w:rPr>
        <w:t xml:space="preserve">，遠藤 芳徳</w:t>
      </w:r>
      <w:r>
        <w:rPr>
          <w:rFonts w:ascii="Century" w:eastAsia="ＭＳ 明朝" w:hAnsi="Century"/>
          <w:sz w:val="21"/>
          <w:szCs w:val="21"/>
          <w:vertAlign w:val="superscript"/>
        </w:rPr>
        <w:t xml:space="preserve">1</w:t>
      </w:r>
      <w:r>
        <w:rPr>
          <w:rFonts w:ascii="Century" w:eastAsia="ＭＳ 明朝" w:hAnsi="Century"/>
          <w:sz w:val="21"/>
          <w:szCs w:val="21"/>
        </w:rPr>
        <w:t xml:space="preserve">，高畠 靖志</w:t>
      </w:r>
      <w:r>
        <w:rPr>
          <w:rFonts w:ascii="Century" w:eastAsia="ＭＳ 明朝" w:hAnsi="Century"/>
          <w:sz w:val="21"/>
          <w:szCs w:val="21"/>
          <w:vertAlign w:val="superscript"/>
        </w:rPr>
        <w:t xml:space="preserve">2</w:t>
      </w:r>
      <w:r>
        <w:rPr>
          <w:rFonts w:ascii="Century" w:eastAsia="ＭＳ 明朝" w:hAnsi="Century"/>
          <w:sz w:val="21"/>
          <w:szCs w:val="21"/>
        </w:rPr>
        <w:t xml:space="preserve">，向井 裕修</w:t>
      </w:r>
      <w:r>
        <w:rPr>
          <w:rFonts w:ascii="Century" w:eastAsia="ＭＳ 明朝" w:hAnsi="Century"/>
          <w:sz w:val="21"/>
          <w:szCs w:val="21"/>
          <w:vertAlign w:val="superscript"/>
        </w:rPr>
        <w:t xml:space="preserve">2</w:t>
      </w:r>
      <w:r>
        <w:rPr>
          <w:rFonts w:ascii="Century" w:eastAsia="ＭＳ 明朝" w:hAnsi="Century"/>
          <w:sz w:val="21"/>
          <w:szCs w:val="21"/>
        </w:rPr>
        <w:t xml:space="preserve">，上野 亜佐子</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【著者(英文)】</w:t>
      </w:r>
    </w:p>
    <w:p>
      <w:pPr>
        <w:spacing w:after="80" w:line="300" w:lineRule="auto"/>
        <w:jc w:val="both"/>
      </w:pPr>
      <w:r>
        <w:rPr>
          <w:rFonts w:ascii="Century" w:eastAsia="ＭＳ 明朝" w:hAnsi="Century"/>
          <w:sz w:val="21"/>
          <w:szCs w:val="21"/>
        </w:rPr>
        <w:t xml:space="preserve">Yusuke Horiuchi</w:t>
      </w:r>
      <w:r>
        <w:rPr>
          <w:rFonts w:ascii="Century" w:eastAsia="ＭＳ 明朝" w:hAnsi="Century"/>
          <w:sz w:val="21"/>
          <w:szCs w:val="21"/>
          <w:vertAlign w:val="superscript"/>
        </w:rPr>
        <w:t xml:space="preserve">1</w:t>
      </w:r>
      <w:r>
        <w:rPr>
          <w:rFonts w:ascii="Century" w:eastAsia="ＭＳ 明朝" w:hAnsi="Century"/>
          <w:sz w:val="21"/>
          <w:szCs w:val="21"/>
        </w:rPr>
        <w:t xml:space="preserve">，Yoshinori Endo</w:t>
      </w:r>
      <w:r>
        <w:rPr>
          <w:rFonts w:ascii="Century" w:eastAsia="ＭＳ 明朝" w:hAnsi="Century"/>
          <w:sz w:val="21"/>
          <w:szCs w:val="21"/>
          <w:vertAlign w:val="superscript"/>
        </w:rPr>
        <w:t xml:space="preserve">1</w:t>
      </w:r>
      <w:r>
        <w:rPr>
          <w:rFonts w:ascii="Century" w:eastAsia="ＭＳ 明朝" w:hAnsi="Century"/>
          <w:sz w:val="21"/>
          <w:szCs w:val="21"/>
        </w:rPr>
        <w:t xml:space="preserve">，Yasushi Takabatake</w:t>
      </w:r>
      <w:r>
        <w:rPr>
          <w:rFonts w:ascii="Century" w:eastAsia="ＭＳ 明朝" w:hAnsi="Century"/>
          <w:sz w:val="21"/>
          <w:szCs w:val="21"/>
          <w:vertAlign w:val="superscript"/>
        </w:rPr>
        <w:t xml:space="preserve">2</w:t>
      </w:r>
      <w:r>
        <w:rPr>
          <w:rFonts w:ascii="Century" w:eastAsia="ＭＳ 明朝" w:hAnsi="Century"/>
          <w:sz w:val="21"/>
          <w:szCs w:val="21"/>
        </w:rPr>
        <w:t xml:space="preserve">，Hironobu Mukai</w:t>
      </w:r>
      <w:r>
        <w:rPr>
          <w:rFonts w:ascii="Century" w:eastAsia="ＭＳ 明朝" w:hAnsi="Century"/>
          <w:sz w:val="21"/>
          <w:szCs w:val="21"/>
          <w:vertAlign w:val="superscript"/>
        </w:rPr>
        <w:t xml:space="preserve">2</w:t>
      </w:r>
      <w:r>
        <w:rPr>
          <w:rFonts w:ascii="Century" w:eastAsia="ＭＳ 明朝" w:hAnsi="Century"/>
          <w:sz w:val="21"/>
          <w:szCs w:val="21"/>
        </w:rPr>
        <w:t xml:space="preserve">，Asako Ueno</w:t>
      </w:r>
      <w:r>
        <w:rPr>
          <w:rFonts w:ascii="Century" w:eastAsia="ＭＳ 明朝" w:hAnsi="Century"/>
          <w:sz w:val="21"/>
          <w:szCs w:val="21"/>
          <w:vertAlign w:val="superscript"/>
        </w:rPr>
        <w:t xml:space="preserve">1</w:t>
      </w:r>
    </w:p>
    <w:p>
      <w:pPr>
        <w:keepNext/>
        <w:spacing w:after="60" w:before="200"/>
      </w:pPr>
      <w:r>
        <w:rPr>
          <w:rFonts w:ascii="Century" w:eastAsia="ＭＳ ゴシック" w:hAnsi="Century"/>
          <w:b/>
          <w:bCs/>
          <w:sz w:val="21"/>
          <w:szCs w:val="21"/>
        </w:rPr>
        <w:t xml:space="preserve">【所属】</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福井県済生会病院 脳神経内科，</w:t>
      </w:r>
      <w:r>
        <w:rPr>
          <w:rFonts w:ascii="Century" w:eastAsia="ＭＳ 明朝" w:hAnsi="Century"/>
          <w:sz w:val="21"/>
          <w:szCs w:val="21"/>
          <w:vertAlign w:val="superscript"/>
        </w:rPr>
        <w:t xml:space="preserve">2</w:t>
      </w:r>
      <w:r>
        <w:rPr>
          <w:rFonts w:ascii="Century" w:eastAsia="ＭＳ 明朝" w:hAnsi="Century"/>
          <w:sz w:val="21"/>
          <w:szCs w:val="21"/>
        </w:rPr>
        <w:t xml:space="preserve">福井県済生会病院 脳神経外科</w:t>
      </w:r>
    </w:p>
    <w:p>
      <w:pPr>
        <w:keepNext/>
        <w:spacing w:after="60" w:before="200"/>
      </w:pPr>
      <w:r>
        <w:rPr>
          <w:rFonts w:ascii="Century" w:eastAsia="ＭＳ ゴシック" w:hAnsi="Century"/>
          <w:b/>
          <w:bCs/>
          <w:sz w:val="21"/>
          <w:szCs w:val="21"/>
        </w:rPr>
        <w:t xml:space="preserve">【所属(英文)】</w:t>
      </w:r>
    </w:p>
    <w:p>
      <w:pPr>
        <w:spacing w:after="80" w:line="300" w:lineRule="auto"/>
        <w:jc w:val="both"/>
      </w:pPr>
      <w:r>
        <w:rPr>
          <w:rFonts w:ascii="Century" w:eastAsia="ＭＳ 明朝" w:hAnsi="Century"/>
          <w:sz w:val="21"/>
          <w:szCs w:val="21"/>
          <w:vertAlign w:val="superscript"/>
        </w:rPr>
        <w:t xml:space="preserve">1</w:t>
      </w:r>
      <w:r>
        <w:rPr>
          <w:rFonts w:ascii="Century" w:eastAsia="ＭＳ 明朝" w:hAnsi="Century"/>
          <w:sz w:val="21"/>
          <w:szCs w:val="21"/>
        </w:rPr>
        <w:t xml:space="preserve">Department of Neurology, Fukuiken Saiseikai Hospital, Japan，</w:t>
      </w:r>
      <w:r>
        <w:rPr>
          <w:rFonts w:ascii="Century" w:eastAsia="ＭＳ 明朝" w:hAnsi="Century"/>
          <w:sz w:val="21"/>
          <w:szCs w:val="21"/>
          <w:vertAlign w:val="superscript"/>
        </w:rPr>
        <w:t xml:space="preserve">2</w:t>
      </w:r>
      <w:r>
        <w:rPr>
          <w:rFonts w:ascii="Century" w:eastAsia="ＭＳ 明朝" w:hAnsi="Century"/>
          <w:sz w:val="21"/>
          <w:szCs w:val="21"/>
        </w:rPr>
        <w:t xml:space="preserve">Department of Neurosurgery, Fukuiken Saiseikai Hospital, Japan</w:t>
      </w:r>
    </w:p>
    <w:p>
      <w:pPr>
        <w:pBdr>
          <w:bottom w:val="single" w:color="999999" w:sz="6" w:space="1"/>
        </w:pBdr>
        <w:spacing w:after="160" w:before="160"/>
      </w:pPr>
    </w:p>
    <w:p>
      <w:pPr>
        <w:keepNext/>
        <w:spacing w:after="60" w:before="0"/>
      </w:pPr>
      <w:r>
        <w:rPr>
          <w:rFonts w:ascii="Century" w:eastAsia="ＭＳ ゴシック" w:hAnsi="Century"/>
          <w:b/>
          <w:bCs/>
          <w:sz w:val="21"/>
          <w:szCs w:val="21"/>
        </w:rPr>
        <w:t xml:space="preserve">【目的】</w:t>
      </w:r>
    </w:p>
    <w:p>
      <w:pPr>
        <w:spacing w:after="80" w:line="300" w:lineRule="auto"/>
        <w:jc w:val="both"/>
      </w:pPr>
      <w:r>
        <w:rPr>
          <w:rFonts w:ascii="Century" w:eastAsia="ＭＳ 明朝" w:hAnsi="Century"/>
          <w:sz w:val="21"/>
          <w:szCs w:val="21"/>
        </w:rPr>
        <w:t xml:space="preserve">アパシーはアルツハイマー病（AD）に高頻度に伴い認知機能低下の予測因子となりうるが，主観的な評価は再現性に乏しい．本研究ではNeuropsychiatric Inventory（NPI）-Apathyの有無を客観的指標とし，抗アミロイドβ抗体療法中にアパシーが消失した症例の認知機能の推移を検討した．</w:t>
      </w:r>
    </w:p>
    <w:p>
      <w:pPr>
        <w:keepNext/>
        <w:spacing w:after="60" w:before="200"/>
      </w:pPr>
      <w:r>
        <w:rPr>
          <w:rFonts w:ascii="Century" w:eastAsia="ＭＳ ゴシック" w:hAnsi="Century"/>
          <w:b/>
          <w:bCs/>
          <w:sz w:val="21"/>
          <w:szCs w:val="21"/>
        </w:rPr>
        <w:t xml:space="preserve">【方法】</w:t>
      </w:r>
    </w:p>
    <w:p>
      <w:pPr>
        <w:spacing w:after="80" w:line="300" w:lineRule="auto"/>
        <w:jc w:val="both"/>
      </w:pPr>
      <w:r>
        <w:rPr>
          <w:rFonts w:ascii="Century" w:eastAsia="ＭＳ 明朝" w:hAnsi="Century"/>
          <w:sz w:val="21"/>
          <w:szCs w:val="21"/>
        </w:rPr>
        <w:t xml:space="preserve">対象は当院で2024年1月〜2026年7月までに抗アミロイドβ抗体療法を行った96例．NPI原票がベースラインと追跡時の両方で確認できた21例のうち，MMSE・CDRの追跡も可能であった14例（全例レカネマブ）を解析対象とした．NPI-Apathyが「あり→なし」となった2例と非改善12例について，患者背景，初回および追跡時の認知機能を比較した．統計解析はMann-Whitney U検定およびFisherの正確確率検定を用いた．</w:t>
      </w:r>
    </w:p>
    <w:p>
      <w:pPr>
        <w:keepNext/>
        <w:spacing w:after="60" w:before="200"/>
      </w:pPr>
      <w:r>
        <w:rPr>
          <w:rFonts w:ascii="Century" w:eastAsia="ＭＳ ゴシック" w:hAnsi="Century"/>
          <w:b/>
          <w:bCs/>
          <w:sz w:val="21"/>
          <w:szCs w:val="21"/>
        </w:rPr>
        <w:t xml:space="preserve">【結果】</w:t>
      </w:r>
    </w:p>
    <w:p>
      <w:pPr>
        <w:spacing w:after="80" w:line="300" w:lineRule="auto"/>
        <w:jc w:val="both"/>
      </w:pPr>
      <w:r>
        <w:rPr>
          <w:rFonts w:ascii="Century" w:eastAsia="ＭＳ 明朝" w:hAnsi="Century"/>
          <w:sz w:val="21"/>
          <w:szCs w:val="21"/>
        </w:rPr>
        <w:t xml:space="preserve">非改善群は12/14例（85.7％）で，年齢74.8±4.6歳，女性58％，初回MMSE 24.9±2.0・CDR-SB 1.5±0.7・時間見当識4.2±1.0，追跡時MMSE 24.4±2.3・CDR-SB 2.5±1.1であった．アパシー改善群は2/14例（14.3％）で，年齢78.0±4.2歳（p=0.55），女性100％（p=0.51），初回MMSE 22.5±0.7（p=0.13）・CDR-SB 1.8±0.4（p=0.79），追跡時MMSE 24.0±1.4（p=0.92）・CDR-SB 2.8±1.8（p=1.00）と差を認めなかったが，初回の時間見当識は2.0±0.0と低値であった（p=0.02）．時間見当識の変化量は非改善群−0.8±0.8点，改善群+1.5±0.7点で（p=0.02），14例中で改善を示したのは改善群の2例のみであった（p=0.01）．改善2例はいずれも易怒性が新規出現していた．</w:t>
      </w:r>
    </w:p>
    <w:p>
      <w:pPr>
        <w:keepNext/>
        <w:spacing w:after="60" w:before="200"/>
      </w:pPr>
      <w:r>
        <w:rPr>
          <w:rFonts w:ascii="Century" w:eastAsia="ＭＳ ゴシック" w:hAnsi="Century"/>
          <w:b/>
          <w:bCs/>
          <w:sz w:val="21"/>
          <w:szCs w:val="21"/>
        </w:rPr>
        <w:t xml:space="preserve">【結論】</w:t>
      </w:r>
    </w:p>
    <w:p>
      <w:pPr>
        <w:spacing w:after="80" w:line="300" w:lineRule="auto"/>
        <w:jc w:val="both"/>
      </w:pPr>
      <w:r>
        <w:rPr>
          <w:rFonts w:ascii="Century" w:eastAsia="ＭＳ 明朝" w:hAnsi="Century"/>
          <w:sz w:val="21"/>
          <w:szCs w:val="21"/>
        </w:rPr>
        <w:t xml:space="preserve">抗アミロイドβ抗体療法中にNPI-Apathyが消失した2例では，年齢・性別やMMSE合計・CDR-SBに非改善群との差を認めず，初回値の低値も追跡時の改善もMMSE時間見当識に限られ，14例中で改善を示したのはこの2例のみであった．治療前のアパシーとその消失は，全般的な認知機能よりも時間見当識という特定の下位項目と関連する可能性がある．ただし改善群は初回の時間見当識が低く，平均への回帰による見かけ上の改善の可能性も否定できない．2例とも易怒性が新規出現しており，NPIの項目ごとに推移は異なりうる．症例数が限られており慎重な解釈を要するが，今後の症例蓄積が望まれる．</w:t>
      </w:r>
    </w:p>
    <w:p>
      <w:r>
        <w:br w:type="page"/>
      </w:r>
    </w:p>
    <w:p>
      <w:pPr>
        <w:spacing w:after="200"/>
      </w:pPr>
      <w:r>
        <w:rPr>
          <w:rFonts w:ascii="Century" w:eastAsia="ＭＳ ゴシック" w:hAnsi="Century"/>
          <w:b/>
          <w:bCs/>
          <w:sz w:val="21"/>
          <w:szCs w:val="21"/>
        </w:rPr>
        <w:t xml:space="preserve">作成にあたっての確認事項（抄録本文には含めません。提出前にこのページを削除してください）</w:t>
      </w:r>
    </w:p>
    <w:p>
      <w:pPr>
        <w:spacing w:after="100"/>
        <w:ind w:left="340" w:hanging="340"/>
        <w:jc w:val="both"/>
      </w:pPr>
      <w:r>
        <w:rPr>
          <w:rFonts w:ascii="Century" w:eastAsia="ＭＳ 明朝" w:hAnsi="Century"/>
          <w:color w:val="444444"/>
          <w:sz w:val="19"/>
          <w:szCs w:val="19"/>
        </w:rPr>
        <w:t xml:space="preserve">1.　結論の「治療前のアパシー」の射程にご注意ください。この記述が根拠とするのはアパシー改善群2例 vs 非改善群12例の比較（初回の時間見当識 2.0±0.0 vs 4.2±1.0、p=0.02）です。一方、14例を「治療前にアパシーがあった4例」と「なかった10例」に分けた比較では、初回の時間見当識に有意差はありません（3.0±1.4 vs 4.3±0.9、p=0.14）。初回MMSE合計（p=0.95）、初回CDR-SB（p=0.64）、年齢（p=0.84）にも差はありません。「治療前のアパシーがあると時間見当識が低い」と一般化して書くとその比較を求められた際に答えられないため、本文はアパシーが消失した2例において初回値も変化量も時間見当識のみに差を認めた、という射程に限定しています。</w:t>
      </w:r>
    </w:p>
    <w:p>
      <w:pPr>
        <w:spacing w:after="100"/>
        <w:ind w:left="340" w:hanging="340"/>
        <w:jc w:val="both"/>
      </w:pPr>
      <w:r>
        <w:rPr>
          <w:rFonts w:ascii="Century" w:eastAsia="ＭＳ 明朝" w:hAnsi="Century"/>
          <w:color w:val="444444"/>
          <w:sz w:val="19"/>
          <w:szCs w:val="19"/>
        </w:rPr>
        <w:t xml:space="preserve">2.　なお治療前アパシーあり4例のうち、初回の時間見当識が2点であった2例がアパシー消失例、5点・3点であった2例が非消失例でした。示唆的ですが4例では検定が成立しません（到達可能な最小p値0.33）。</w:t>
      </w:r>
    </w:p>
    <w:p>
      <w:pPr>
        <w:spacing w:after="100"/>
        <w:ind w:left="340" w:hanging="340"/>
        <w:jc w:val="both"/>
      </w:pPr>
      <w:r>
        <w:rPr>
          <w:rFonts w:ascii="Century" w:eastAsia="ＭＳ 明朝" w:hAnsi="Century"/>
          <w:color w:val="444444"/>
          <w:sz w:val="19"/>
          <w:szCs w:val="19"/>
        </w:rPr>
        <w:t xml:space="preserve">3.　初回の時間見当識の差（p=0.02）を患者背景として本文に明記しています。所見を弱めるためではなく、平均への回帰の可能性を読者が判断できるようにするためです。</w:t>
      </w:r>
    </w:p>
    <w:p>
      <w:pPr>
        <w:spacing w:after="100"/>
        <w:ind w:left="340" w:hanging="340"/>
        <w:jc w:val="both"/>
      </w:pPr>
      <w:r>
        <w:rPr>
          <w:rFonts w:ascii="Century" w:eastAsia="ＭＳ 明朝" w:hAnsi="Century"/>
          <w:color w:val="444444"/>
          <w:sz w:val="19"/>
          <w:szCs w:val="19"/>
        </w:rPr>
        <w:t xml:space="preserve">4.　いただいた一覧表に氏名・よみがな・カルテIDが含まれていました。リポジトリは公開設定のため、これらのファイル自体も氏名を含む派生物も一切コミットしていません。研究番号・年齢・性別・投与開始日のみを抽出して保存しています。今後は氏名列を削除したものをお送りいただくのが安全です。</w:t>
      </w:r>
    </w:p>
    <w:p>
      <w:pPr>
        <w:spacing w:after="100"/>
        <w:ind w:left="340" w:hanging="340"/>
        <w:jc w:val="both"/>
      </w:pPr>
      <w:r>
        <w:rPr>
          <w:rFonts w:ascii="Century" w:eastAsia="ＭＳ 明朝" w:hAnsi="Century"/>
          <w:color w:val="444444"/>
          <w:sz w:val="19"/>
          <w:szCs w:val="19"/>
        </w:rPr>
        <w:t xml:space="preserve">5.　ドナネマブの一覧表には年齢の列がありません。ただし解析対象14例は全例レカネマブであり、抄録本文の年齢はすべてレカネマブ例の値であるため、本抄録の記載に影響はありません。</w:t>
      </w:r>
    </w:p>
    <w:p>
      <w:pPr>
        <w:spacing w:after="100"/>
        <w:ind w:left="340" w:hanging="340"/>
        <w:jc w:val="both"/>
      </w:pPr>
      <w:r>
        <w:rPr>
          <w:rFonts w:ascii="Century" w:eastAsia="ＭＳ 明朝" w:hAnsi="Century"/>
          <w:color w:val="444444"/>
          <w:sz w:val="19"/>
          <w:szCs w:val="19"/>
        </w:rPr>
        <w:t xml:space="preserve">6.　治療期間の根拠。レカネマブは一覧表の投与開始日（2024年1月13日〜2026年2月18日、63例で記載あり）、ドナネマブは投与開始日の記載がないためMMSEベースライン評価日の範囲（2025年3月8日〜2026年7月28日）で代用し、合わせて「2024年1月〜2026年7月」としました。</w:t>
      </w:r>
    </w:p>
    <w:p>
      <w:pPr>
        <w:spacing w:after="100"/>
        <w:ind w:left="340" w:hanging="340"/>
        <w:jc w:val="both"/>
      </w:pPr>
      <w:r>
        <w:rPr>
          <w:rFonts w:ascii="Century" w:eastAsia="ＭＳ 明朝" w:hAnsi="Century"/>
          <w:color w:val="444444"/>
          <w:sz w:val="19"/>
          <w:szCs w:val="19"/>
        </w:rPr>
        <w:t xml:space="preserve">7.　抽出時に判断を要した点（推測による補正はしていません）: L35は投与開始日が「204/12/12」と3桁年、L44は「2025/2/29」と暦上存在しない日付のため欠測扱い。L51は記載なし。L36・L38・L41・L45・L52・L65は性別が全角「Ｍ」のため正規化。D31は性別の記載なし。</w:t>
      </w:r>
    </w:p>
    <w:p>
      <w:pPr>
        <w:spacing w:after="100"/>
        <w:ind w:left="340" w:hanging="340"/>
        <w:jc w:val="both"/>
      </w:pPr>
      <w:r>
        <w:rPr>
          <w:rFonts w:ascii="Century" w:eastAsia="ＭＳ 明朝" w:hAnsi="Century"/>
          <w:color w:val="444444"/>
          <w:sz w:val="19"/>
          <w:szCs w:val="19"/>
        </w:rPr>
        <w:t xml:space="preserve">8.　一覧表と解析用データで初回MMSEが食い違う症例が5例ありました（L5: 22対25、L6: 23対24、L8: 22対19、L37: 30対22、L62: 21対27）。66例中61例は一致しています。いずれも解析対象14例には含まれないため抄録の数値には影響しませんが、L37はNPI原票がある症例であり今後の解析に関わります。原資料でのご確認をお勧めします。</w:t>
      </w:r>
    </w:p>
    <w:p>
      <w:pPr>
        <w:spacing w:after="100"/>
        <w:ind w:left="340" w:hanging="340"/>
        <w:jc w:val="both"/>
      </w:pPr>
      <w:r>
        <w:rPr>
          <w:rFonts w:ascii="Century" w:eastAsia="ＭＳ 明朝" w:hAnsi="Century"/>
          <w:color w:val="444444"/>
          <w:sz w:val="19"/>
          <w:szCs w:val="19"/>
        </w:rPr>
        <w:t xml:space="preserve">9.　改善群2例の最終評価時点は6か月と24か月です。著者・所属は前回抄録（日本神経学会 No.1000218）の並びを踏襲しています。本文は約1,050字です（前回抄録は913字）。字数制限に応じて短縮する場合は、【結果】の追跡時MMSE・CDR-SBの数値を削るのが最小の情報損失となります。</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2026-09-18T11:58:25.184Z</dcterms:created>
  <dcterms:modified xsi:type="dcterms:W3CDTF">2026-09-18T11:58:25.195Z</dcterms:modified>
</cp:coreProperties>
</file>

<file path=docProps/custom.xml><?xml version="1.0" encoding="utf-8"?>
<Properties xmlns="http://schemas.openxmlformats.org/officeDocument/2006/custom-properties" xmlns:vt="http://schemas.openxmlformats.org/officeDocument/2006/docPropsVTypes"/>
</file>