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entury" w:hAnsi="Century" w:eastAsia="ＭＳ ゴシック"/>
          <w:b/>
          <w:sz w:val="28"/>
        </w:rPr>
        <w:t>初回NPI-Apathy score 1点以上の4例　症例詳細と確認事項</w:t>
      </w:r>
    </w:p>
    <w:p>
      <w:pPr>
        <w:spacing w:after="160"/>
        <w:jc w:val="center"/>
      </w:pPr>
      <w:r>
        <w:rPr>
          <w:rFonts w:ascii="Century" w:hAnsi="Century" w:eastAsia="ＭＳ 明朝"/>
          <w:b w:val="0"/>
          <w:sz w:val="19"/>
        </w:rPr>
        <w:t>総会抄録（上野先生修正版）の補足資料　／　抄録本文には含めません</w:t>
      </w:r>
    </w:p>
    <w:p>
      <w:pPr>
        <w:spacing w:after="80"/>
      </w:pPr>
      <w:r>
        <w:rPr>
          <w:rFonts w:ascii="Century" w:hAnsi="Century" w:eastAsia="ＭＳ 明朝"/>
          <w:b w:val="0"/>
          <w:sz w:val="21"/>
        </w:rPr>
        <w:t>解析対象14例（全例レカネマブ）のうち、初回NPI-Apathy scoreが1点以上であったのは4例で、いずれも女性であった。初回0点の10例はスコアが低下しえないため、「初回1点以上」の規則で比較対象が機械的に決まる。低下例2例（L4、L59）と非低下例2例（L58、L60）の値はすべて解析用ワークブックから読み込んだものである。研究番号は匿名IDである。</w:t>
      </w:r>
    </w:p>
    <w:p>
      <w:pPr>
        <w:spacing w:after="80" w:before="200"/>
      </w:pPr>
      <w:r>
        <w:rPr>
          <w:rFonts w:ascii="Century" w:hAnsi="Century" w:eastAsia="ＭＳ ゴシック"/>
          <w:b/>
          <w:sz w:val="24"/>
        </w:rPr>
        <w:t>表1　背景とNPI-Apathy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154"/>
            <w:shd w:val="clear" w:fill="E7E9EE"/>
          </w:tcPr>
          <w:p>
            <w:pPr>
              <w:jc w:val="center"/>
            </w:pPr>
            <w:r/>
            <w:r>
              <w:rPr>
                <w:rFonts w:ascii="Century" w:hAnsi="Century" w:eastAsia="ＭＳ ゴシック"/>
                <w:b/>
                <w:sz w:val="19"/>
              </w:rPr>
              <w:t>項目</w:t>
            </w:r>
          </w:p>
        </w:tc>
        <w:tc>
          <w:tcPr>
            <w:tcW w:type="dxa" w:w="1928"/>
            <w:shd w:val="clear" w:fill="E7E9EE"/>
          </w:tcPr>
          <w:p>
            <w:pPr>
              <w:jc w:val="center"/>
            </w:pPr>
            <w:r/>
            <w:r>
              <w:rPr>
                <w:rFonts w:ascii="Century" w:hAnsi="Century" w:eastAsia="ＭＳ ゴシック"/>
                <w:b/>
                <w:sz w:val="19"/>
              </w:rPr>
              <w:t>低下例1</w:t>
              <w:br/>
              <w:t>L4</w:t>
            </w:r>
          </w:p>
        </w:tc>
        <w:tc>
          <w:tcPr>
            <w:tcW w:type="dxa" w:w="1928"/>
            <w:shd w:val="clear" w:fill="E7E9EE"/>
          </w:tcPr>
          <w:p>
            <w:pPr>
              <w:jc w:val="center"/>
            </w:pPr>
            <w:r/>
            <w:r>
              <w:rPr>
                <w:rFonts w:ascii="Century" w:hAnsi="Century" w:eastAsia="ＭＳ ゴシック"/>
                <w:b/>
                <w:sz w:val="19"/>
              </w:rPr>
              <w:t>低下例2</w:t>
              <w:br/>
              <w:t>L59</w:t>
            </w:r>
          </w:p>
        </w:tc>
        <w:tc>
          <w:tcPr>
            <w:tcW w:type="dxa" w:w="1928"/>
            <w:shd w:val="clear" w:fill="E7E9EE"/>
          </w:tcPr>
          <w:p>
            <w:pPr>
              <w:jc w:val="center"/>
            </w:pPr>
            <w:r/>
            <w:r>
              <w:rPr>
                <w:rFonts w:ascii="Century" w:hAnsi="Century" w:eastAsia="ＭＳ ゴシック"/>
                <w:b/>
                <w:sz w:val="19"/>
              </w:rPr>
              <w:t>非低下例1</w:t>
              <w:br/>
              <w:t>L58</w:t>
            </w:r>
          </w:p>
        </w:tc>
        <w:tc>
          <w:tcPr>
            <w:tcW w:type="dxa" w:w="1928"/>
            <w:shd w:val="clear" w:fill="E7E9EE"/>
          </w:tcPr>
          <w:p>
            <w:pPr>
              <w:jc w:val="center"/>
            </w:pPr>
            <w:r/>
            <w:r>
              <w:rPr>
                <w:rFonts w:ascii="Century" w:hAnsi="Century" w:eastAsia="ＭＳ ゴシック"/>
                <w:b/>
                <w:sz w:val="19"/>
              </w:rPr>
              <w:t>非低下例2</w:t>
              <w:br/>
              <w:t>L60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年齢・性別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75歳・女性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81歳・女性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74歳・女性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71歳・女性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投与開始日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2024/03/22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2025/07/24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2025/07/18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2025/08/04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NPI-Apathy 初回</w:t>
              <w:br/>
              <w:t>（頻度×重症度）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1（1×1）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1（1×1）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2（2×1）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1（1×1）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NPI-Apathy 追跡時</w:t>
              <w:br/>
              <w:t>（頻度×重症度）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0（0×0）※1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0（0×0）※1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3（3×1）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3（3×1）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アパシー有無欄</w:t>
              <w:br/>
              <w:t>初回→追跡時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判定保留→なし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あり→なし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あり→あり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あり→あり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NPI評価日 初回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2024/03/14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2025/07/24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2025/07/18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2024/6（日未記載）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NPI評価日 追跡時</w:t>
              <w:br/>
              <w:t>（原資料の時点）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2026/08/03</w:t>
              <w:br/>
              <w:t>（30か月）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2026/08/03</w:t>
              <w:br/>
              <w:t>（12か月）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2026/08/14</w:t>
              <w:br/>
              <w:t>（12か月）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2026/08/17</w:t>
              <w:br/>
              <w:t>（12か月）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易怒性</w:t>
              <w:br/>
              <w:t>初回→追跡時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なし→あり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なし→あり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あり→あり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なし→あり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認知機能の追跡時点</w:t>
              <w:br/>
              <w:t>（評価日）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24か月</w:t>
              <w:br/>
              <w:t>（評価日記載なし）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6か月</w:t>
              <w:br/>
              <w:t>（2026/02/16）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6か月</w:t>
              <w:br/>
              <w:t>（2026/02/26）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6か月</w:t>
              <w:br/>
              <w:t>（2026/02/27）</w:t>
            </w:r>
          </w:p>
        </w:tc>
      </w:tr>
    </w:tbl>
    <w:p>
      <w:pPr>
        <w:spacing w:after="40"/>
      </w:pPr>
      <w:r>
        <w:rPr>
          <w:rFonts w:ascii="Century" w:hAnsi="Century" w:eastAsia="ＭＳ 明朝"/>
          <w:b w:val="0"/>
          <w:sz w:val="18"/>
        </w:rPr>
        <w:t>※1　追跡時は有無欄が「なし」で頻度・重症度欄が空欄のため、研究上の記録ルールにより0点とした（NPIでは主質問が「なし」のとき当該項目は0点となる）。</w:t>
      </w:r>
    </w:p>
    <w:p>
      <w:pPr>
        <w:spacing w:after="80" w:before="200"/>
      </w:pPr>
      <w:r>
        <w:rPr>
          <w:rFonts w:ascii="Century" w:hAnsi="Century" w:eastAsia="ＭＳ ゴシック"/>
          <w:b/>
          <w:sz w:val="24"/>
        </w:rPr>
        <w:t>表2　MMSE（初回→追跡時）　太字は変化した項目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154"/>
            <w:shd w:val="clear" w:fill="E7E9EE"/>
          </w:tcPr>
          <w:p>
            <w:pPr>
              <w:jc w:val="center"/>
            </w:pPr>
            <w:r/>
            <w:r>
              <w:rPr>
                <w:rFonts w:ascii="Century" w:hAnsi="Century" w:eastAsia="ＭＳ ゴシック"/>
                <w:b/>
                <w:sz w:val="19"/>
              </w:rPr>
              <w:t>項目</w:t>
            </w:r>
          </w:p>
        </w:tc>
        <w:tc>
          <w:tcPr>
            <w:tcW w:type="dxa" w:w="1928"/>
            <w:shd w:val="clear" w:fill="E7E9EE"/>
          </w:tcPr>
          <w:p>
            <w:pPr>
              <w:jc w:val="center"/>
            </w:pPr>
            <w:r/>
            <w:r>
              <w:rPr>
                <w:rFonts w:ascii="Century" w:hAnsi="Century" w:eastAsia="ＭＳ ゴシック"/>
                <w:b/>
                <w:sz w:val="19"/>
              </w:rPr>
              <w:t>低下例1</w:t>
              <w:br/>
              <w:t>L4</w:t>
            </w:r>
          </w:p>
        </w:tc>
        <w:tc>
          <w:tcPr>
            <w:tcW w:type="dxa" w:w="1928"/>
            <w:shd w:val="clear" w:fill="E7E9EE"/>
          </w:tcPr>
          <w:p>
            <w:pPr>
              <w:jc w:val="center"/>
            </w:pPr>
            <w:r/>
            <w:r>
              <w:rPr>
                <w:rFonts w:ascii="Century" w:hAnsi="Century" w:eastAsia="ＭＳ ゴシック"/>
                <w:b/>
                <w:sz w:val="19"/>
              </w:rPr>
              <w:t>低下例2</w:t>
              <w:br/>
              <w:t>L59</w:t>
            </w:r>
          </w:p>
        </w:tc>
        <w:tc>
          <w:tcPr>
            <w:tcW w:type="dxa" w:w="1928"/>
            <w:shd w:val="clear" w:fill="E7E9EE"/>
          </w:tcPr>
          <w:p>
            <w:pPr>
              <w:jc w:val="center"/>
            </w:pPr>
            <w:r/>
            <w:r>
              <w:rPr>
                <w:rFonts w:ascii="Century" w:hAnsi="Century" w:eastAsia="ＭＳ ゴシック"/>
                <w:b/>
                <w:sz w:val="19"/>
              </w:rPr>
              <w:t>非低下例1</w:t>
              <w:br/>
              <w:t>L58</w:t>
            </w:r>
          </w:p>
        </w:tc>
        <w:tc>
          <w:tcPr>
            <w:tcW w:type="dxa" w:w="1928"/>
            <w:shd w:val="clear" w:fill="E7E9EE"/>
          </w:tcPr>
          <w:p>
            <w:pPr>
              <w:jc w:val="center"/>
            </w:pPr>
            <w:r/>
            <w:r>
              <w:rPr>
                <w:rFonts w:ascii="Century" w:hAnsi="Century" w:eastAsia="ＭＳ ゴシック"/>
                <w:b/>
                <w:sz w:val="19"/>
              </w:rPr>
              <w:t>非低下例2</w:t>
              <w:br/>
              <w:t>L60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合計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23→23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22→25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28→26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25→24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時間見当識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2→3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2→4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5→4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3→2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場所見当識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5→5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4→5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5→5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4→5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物品呼称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2→2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2→2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2→2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2→2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記銘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3→3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3→3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3→3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3→3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注意計算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5→3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3→4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5→5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5→5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遅延再生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0→0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1→0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1→0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1→0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復唱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1→1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1→1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1→1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1→1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読字理解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1→1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1→1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1→1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1→1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3段階命令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3→3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3→3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3→3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3→3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書字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1→1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1→1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1→1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1→1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図形模写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0→1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1→1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1→1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1→1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下位項目Δの総和／合計Δ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±0／±0（一致）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+3／+3（一致）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−2／−2（一致）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−1／−1（一致）</w:t>
            </w:r>
          </w:p>
        </w:tc>
      </w:tr>
    </w:tbl>
    <w:p>
      <w:pPr>
        <w:spacing w:after="80" w:before="200"/>
      </w:pPr>
      <w:r>
        <w:rPr>
          <w:rFonts w:ascii="Century" w:hAnsi="Century" w:eastAsia="ＭＳ ゴシック"/>
          <w:b/>
          <w:sz w:val="24"/>
        </w:rPr>
        <w:t>表3　CDR（初回→追跡時）　太字は変化した項目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154"/>
            <w:shd w:val="clear" w:fill="E7E9EE"/>
          </w:tcPr>
          <w:p>
            <w:pPr>
              <w:jc w:val="center"/>
            </w:pPr>
            <w:r/>
            <w:r>
              <w:rPr>
                <w:rFonts w:ascii="Century" w:hAnsi="Century" w:eastAsia="ＭＳ ゴシック"/>
                <w:b/>
                <w:sz w:val="19"/>
              </w:rPr>
              <w:t>項目</w:t>
            </w:r>
          </w:p>
        </w:tc>
        <w:tc>
          <w:tcPr>
            <w:tcW w:type="dxa" w:w="1928"/>
            <w:shd w:val="clear" w:fill="E7E9EE"/>
          </w:tcPr>
          <w:p>
            <w:pPr>
              <w:jc w:val="center"/>
            </w:pPr>
            <w:r/>
            <w:r>
              <w:rPr>
                <w:rFonts w:ascii="Century" w:hAnsi="Century" w:eastAsia="ＭＳ ゴシック"/>
                <w:b/>
                <w:sz w:val="19"/>
              </w:rPr>
              <w:t>低下例1</w:t>
              <w:br/>
              <w:t>L4</w:t>
            </w:r>
          </w:p>
        </w:tc>
        <w:tc>
          <w:tcPr>
            <w:tcW w:type="dxa" w:w="1928"/>
            <w:shd w:val="clear" w:fill="E7E9EE"/>
          </w:tcPr>
          <w:p>
            <w:pPr>
              <w:jc w:val="center"/>
            </w:pPr>
            <w:r/>
            <w:r>
              <w:rPr>
                <w:rFonts w:ascii="Century" w:hAnsi="Century" w:eastAsia="ＭＳ ゴシック"/>
                <w:b/>
                <w:sz w:val="19"/>
              </w:rPr>
              <w:t>低下例2</w:t>
              <w:br/>
              <w:t>L59</w:t>
            </w:r>
          </w:p>
        </w:tc>
        <w:tc>
          <w:tcPr>
            <w:tcW w:type="dxa" w:w="1928"/>
            <w:shd w:val="clear" w:fill="E7E9EE"/>
          </w:tcPr>
          <w:p>
            <w:pPr>
              <w:jc w:val="center"/>
            </w:pPr>
            <w:r/>
            <w:r>
              <w:rPr>
                <w:rFonts w:ascii="Century" w:hAnsi="Century" w:eastAsia="ＭＳ ゴシック"/>
                <w:b/>
                <w:sz w:val="19"/>
              </w:rPr>
              <w:t>非低下例1</w:t>
              <w:br/>
              <w:t>L58</w:t>
            </w:r>
          </w:p>
        </w:tc>
        <w:tc>
          <w:tcPr>
            <w:tcW w:type="dxa" w:w="1928"/>
            <w:shd w:val="clear" w:fill="E7E9EE"/>
          </w:tcPr>
          <w:p>
            <w:pPr>
              <w:jc w:val="center"/>
            </w:pPr>
            <w:r/>
            <w:r>
              <w:rPr>
                <w:rFonts w:ascii="Century" w:hAnsi="Century" w:eastAsia="ＭＳ ゴシック"/>
                <w:b/>
                <w:sz w:val="19"/>
              </w:rPr>
              <w:t>非低下例2</w:t>
              <w:br/>
              <w:t>L60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CDR-SB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2.0→4.0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1.5→1.5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1.0→1.5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2.5→2.5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Global CDR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0.5→1.0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0.5→0.5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0.5→0.5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0.5→0.5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記憶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0.5→1.0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0.5→0.5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0.5→0.5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0.5→0.5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見当識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0.5→0.5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0.5→0.5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0.0→0.5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0.5→0.5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判断力・問題解決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0.5→1.0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0.5→0.5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0.0→0.0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0.5→0.5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地域社会の活動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0.5→1.0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0.0→0.0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0.0→0.0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0.5→0.5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家庭・趣味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/>
                <w:sz w:val="19"/>
              </w:rPr>
              <w:t>0.0→0.5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0.0→0.0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0.5→0.5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0.5→0.5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entury" w:hAnsi="Century" w:eastAsia="ＭＳ 明朝"/>
                <w:b w:val="0"/>
                <w:sz w:val="19"/>
              </w:rPr>
              <w:t>身の回りの世話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0.0→0.0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0.0→0.0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0.0→0.0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Century" w:hAnsi="Century" w:eastAsia="ＭＳ 明朝"/>
                <w:b w:val="0"/>
                <w:sz w:val="19"/>
              </w:rPr>
              <w:t>0.0→0.0</w:t>
            </w:r>
          </w:p>
        </w:tc>
      </w:tr>
    </w:tbl>
    <w:p>
      <w:pPr>
        <w:spacing w:after="80" w:before="200"/>
      </w:pPr>
      <w:r>
        <w:rPr>
          <w:rFonts w:ascii="Century" w:hAnsi="Century" w:eastAsia="ＭＳ ゴシック"/>
          <w:b/>
          <w:sz w:val="24"/>
        </w:rPr>
        <w:t>非低下例2例の経過（上野先生ご依頼の詳細）</w:t>
      </w:r>
    </w:p>
    <w:p>
      <w:pPr>
        <w:spacing w:after="80"/>
      </w:pPr>
      <w:r>
        <w:rPr>
          <w:rFonts w:ascii="Century" w:hAnsi="Century" w:eastAsia="ＭＳ 明朝"/>
          <w:b w:val="0"/>
          <w:sz w:val="21"/>
        </w:rPr>
        <w:t>非低下例1（L58、74歳・女性）：NPI-Apathy score 2→3点（頻度2→3、重症度1→1）。MMSE 28→26点（変化した下位項目：時間見当識5→4、遅延再生1→0）、CDR-SB 1.0→1.5点（変化した領域：見当識0.0→0.5）。初回の時間見当識は満点（5点）で、上昇の余地はなかった。易怒性はあり→あり。認知機能の追跡は6か月時点。</w:t>
      </w:r>
    </w:p>
    <w:p>
      <w:pPr>
        <w:spacing w:after="80"/>
      </w:pPr>
      <w:r>
        <w:rPr>
          <w:rFonts w:ascii="Century" w:hAnsi="Century" w:eastAsia="ＭＳ 明朝"/>
          <w:b w:val="0"/>
          <w:sz w:val="21"/>
        </w:rPr>
        <w:t>非低下例2（L60、71歳・女性）：NPI-Apathy score 1→3点（頻度1→3、重症度1→1）。MMSE 25→24点（変化した下位項目：時間見当識3→2、場所見当識4→5、遅延再生1→0）、CDR-SB 2.5→2.5点（変化した領域：なし）。初回の時間見当識は3点で上昇の余地があったが、2点となった。易怒性はなし→あり。認知機能の追跡は6か月時点。</w:t>
      </w:r>
    </w:p>
    <w:p>
      <w:pPr>
        <w:spacing w:after="80" w:before="200"/>
      </w:pPr>
      <w:r>
        <w:rPr>
          <w:rFonts w:ascii="Century" w:hAnsi="Century" w:eastAsia="ＭＳ ゴシック"/>
          <w:b/>
          <w:sz w:val="24"/>
        </w:rPr>
        <w:t>確認をお願いしたい事項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1．【重要】L60（非低下例2）の初回NPIの評価日は原資料に「2024.6.（日未記載）」と記載されている。投与開始日（2025/08/04）および認知機能の初回評価（2025/08/04）より約14か月前であり、追跡時の原資料の時点「12か月」（2026/8/17）とも整合しない。ワークブックにも「対応を要確認」と記載がある。比較対象は2例しかないため、この1例の初回値の扱いは結果に直結する。値は変更せず原記載のまま用いた。原票の確認をお願いしたい。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2．L4（低下例1）の初回アパシー有無欄は「判定保留」（有・無の双方に丸と訂正跡）。頻度1×重症度1＝1点は原資料に記載されている。低下（1→0点）の判定はこの1点に依存する。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3．L4・L59（低下例2例）の追跡時0点は、有無欄「なし」で頻度・重症度が空欄のため、研究上の記録ルールにより0点としたもの（表1※1）。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4．認知機能の追跡はNPIの追跡より約6か月早い。L58・L59・L60は認知機能6か月（2026年2月）に対しNPIは原資料12か月（2026年8月）、L4は認知機能24か月に対しNPIは原資料30か月。NPIの追跡時点に対応する認知機能評価が存在しないためで、抄録には「評価間隔はNPI-Apathy scoreが12～30か月で，認知機能はNPI追跡評価日に最も近い時点の値を用いた（6～24か月）」と書き分けた。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5．非低下例1（L58）は初回の時間見当識が満点（5点）で、上昇の余地がない。非低下例2（L60）は初回3点で上昇の余地があったが2点となった。抄録の結論ではこの初回値の違いを限界として記載した。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6．易怒性は低下2例と非低下例2（L60）で新規に出現し、非低下例1（L58）は初回からあった。4例で見ると新規出現は低下例に限られないため、堀内版にあった「2例とも易怒性が新規に出現した」は上野先生版と同じく本文に含めていない。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7．「後方視的に解析した」は上野先生版の記載をそのまま用いた。研究デザインはデータからは確認できない。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8．対象期間「2024年1月～2026年7月」は旧稿からの記載。患者背景ファイルで投与開始日が記録されているのは97件中63件で、範囲は2024/1/13～2026/2/18であり、2026年7月までは確認できない。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9．MMSE合計点と下位項目合計は、対象14例のすべての評価時点で一致した（不一致0件、表2最下行）。ただし添付PDFの原票との照合は行えていない。</w:t>
      </w:r>
    </w:p>
    <w:p>
      <w:pPr>
        <w:spacing w:after="80" w:before="200"/>
      </w:pPr>
      <w:r>
        <w:rPr>
          <w:rFonts w:ascii="Century" w:hAnsi="Century" w:eastAsia="ＭＳ ゴシック"/>
          <w:b/>
          <w:sz w:val="24"/>
        </w:rPr>
        <w:t>上野先生版から変更・補充した箇所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1．空欄の補充：不変7例・上昇5例、年齢71～81歳・女性4例、非低下2例のスコア（2→3点、1→3点）、非低下2例の時間見当識／MMSE／CDR-SB。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2．【方法】「評価間隔は6～24か月」→「評価間隔はNPI-Apathy scoreが12～30か月で，認知機能はNPI追跡評価日に最も近い時点の値を用いた（6～24か月）」。6～24か月は認知機能の間隔で、NPIの間隔（原資料の時点で12～30か月）とは異なるため。後半は堀内版で採用した記載。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3．【方法】堀内版から「（頻度×重症度，0～12点）」「（全例レカネマブ）」を補った。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4．【方法】「初回NPI-Apathy score　1点以上」の全角スペースを半角に統一した。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5．【結果】「不変7例」に「（いずれも0点のまま）」を補った。初回1点以上が4例に限られる理由が読み取れるため。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6．【結論】堀内版の床効果・平均への回帰の記載を、4例の値に合わせて1文補った（初回時間見当識：低下2例がいずれも2点、非低下2例が5点と3点）。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7．テンプレに元から記載されていた低下例2例の値（2→3／23→23／2.0→4.0、2→4／22→25／1.5→1.5）は元データと一致することを確認した。</w:t>
      </w:r>
    </w:p>
    <w:p>
      <w:pPr>
        <w:spacing w:after="80" w:before="200"/>
      </w:pPr>
      <w:r>
        <w:rPr>
          <w:rFonts w:ascii="Century" w:hAnsi="Century" w:eastAsia="ＭＳ ゴシック"/>
          <w:b/>
          <w:sz w:val="24"/>
        </w:rPr>
        <w:t>堀内版にあり、本文に含めなかった記載（必要なら追加できます）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1．示唆の一文：「これらの限界はあるが，本所見はアパシーの改善と時間見当識の改善が関連して推移する可能性を示唆する．」（上野先生版の結論は「両者の変化量の関連を検証する必要がある」で結ばれているため）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2．「全例が治療例であり薬剤の効果は論じられない．」</w:t>
      </w:r>
    </w:p>
    <w:p>
      <w:pPr>
        <w:spacing w:after="80"/>
        <w:ind w:left="283" w:hanging="283"/>
      </w:pPr>
      <w:r>
        <w:rPr>
          <w:rFonts w:ascii="Century" w:hAnsi="Century" w:eastAsia="ＭＳ 明朝"/>
          <w:b w:val="0"/>
          <w:sz w:val="20"/>
        </w:rPr>
        <w:t>3．「群分けは既存データ確認後に設定した．」（題名に「探索的検討」とあり、事前規定の解析とは記載していない）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