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00096">
      <w:pPr>
        <w:spacing w:before="400" w:after="200"/>
        <w:jc w:val="center"/>
      </w:pPr>
      <w:r>
        <w:rPr>
          <w:rFonts w:ascii="Calibri" w:hAnsi="Calibri" w:eastAsia="Calibri" w:cs="Calibri"/>
          <w:b/>
          <w:bCs/>
          <w:color w:val="1F3864"/>
          <w:sz w:val="48"/>
          <w:szCs w:val="48"/>
        </w:rPr>
        <w:t>Reflective Report</w:t>
      </w:r>
    </w:p>
    <w:p w14:paraId="0F714A3E">
      <w:pPr>
        <w:spacing w:before="0" w:after="200"/>
        <w:jc w:val="center"/>
      </w:pPr>
      <w:r>
        <w:rPr>
          <w:rFonts w:ascii="Calibri" w:hAnsi="Calibri" w:eastAsia="Calibri" w:cs="Calibri"/>
          <w:color w:val="2E75B6"/>
          <w:sz w:val="28"/>
          <w:szCs w:val="28"/>
        </w:rPr>
        <w:t>E-commerce Sales Dashboard</w:t>
      </w:r>
    </w:p>
    <w:p w14:paraId="0F63A03F">
      <w:pPr>
        <w:spacing w:before="0" w:after="100"/>
        <w:jc w:val="center"/>
      </w:pPr>
      <w:r>
        <w:rPr>
          <w:rFonts w:ascii="Calibri" w:hAnsi="Calibri" w:eastAsia="Calibri" w:cs="Calibri"/>
          <w:i/>
          <w:iCs/>
          <w:sz w:val="22"/>
          <w:szCs w:val="22"/>
        </w:rPr>
        <w:t>ACC102 Mini Assignment — Track 4: Interactive Data Analysis Tool</w:t>
      </w:r>
    </w:p>
    <w:p w14:paraId="29C72D8F">
      <w:pPr>
        <w:spacing w:before="0" w:after="300"/>
        <w:jc w:val="center"/>
      </w:pPr>
      <w:r>
        <w:rPr>
          <w:rFonts w:ascii="Calibri" w:hAnsi="Calibri" w:eastAsia="Calibri" w:cs="Calibri"/>
          <w:i/>
          <w:iCs/>
          <w:color w:val="595959"/>
          <w:sz w:val="20"/>
          <w:szCs w:val="20"/>
        </w:rPr>
        <w:t>Xi'an Jiaotong-Liverpool University · ~800 words</w:t>
      </w:r>
    </w:p>
    <w:tbl>
      <w:tblPr>
        <w:tblStyle w:val="11"/>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tblGrid>
      <w:tr w14:paraId="4118009A">
        <w:trPr>
          <w:jc w:val="center"/>
        </w:trPr>
        <w:tc>
          <w:tcPr>
            <w:tcW w:w="2400" w:type="dxa"/>
            <w:tcBorders>
              <w:top w:val="single" w:color="CCCCCC" w:sz="6" w:space="0"/>
              <w:left w:val="single" w:color="CCCCCC" w:sz="6" w:space="0"/>
              <w:bottom w:val="single" w:color="CCCCCC" w:sz="6" w:space="0"/>
              <w:right w:val="single" w:color="CCCCCC" w:sz="6" w:space="0"/>
            </w:tcBorders>
            <w:shd w:val="clear" w:color="auto" w:fill="D9E2F3"/>
            <w:tcMar>
              <w:top w:w="80" w:type="dxa"/>
              <w:left w:w="120" w:type="dxa"/>
              <w:bottom w:w="80" w:type="dxa"/>
              <w:right w:w="120" w:type="dxa"/>
            </w:tcMar>
          </w:tcPr>
          <w:p w14:paraId="5464723C">
            <w:pPr>
              <w:spacing w:before="30" w:after="30"/>
            </w:pPr>
            <w:r>
              <w:rPr>
                <w:rFonts w:ascii="Calibri" w:hAnsi="Calibri" w:eastAsia="Calibri" w:cs="Calibri"/>
                <w:b/>
                <w:bCs/>
                <w:sz w:val="22"/>
                <w:szCs w:val="22"/>
              </w:rPr>
              <w:t>Student name</w:t>
            </w:r>
          </w:p>
        </w:tc>
        <w:tc>
          <w:tcPr>
            <w:tcW w:w="4800" w:type="dxa"/>
            <w:tcBorders>
              <w:top w:val="single" w:color="CCCCCC" w:sz="6" w:space="0"/>
              <w:left w:val="single" w:color="CCCCCC" w:sz="6" w:space="0"/>
              <w:bottom w:val="single" w:color="CCCCCC" w:sz="6" w:space="0"/>
              <w:right w:val="single" w:color="CCCCCC" w:sz="6" w:space="0"/>
            </w:tcBorders>
            <w:tcMar>
              <w:top w:w="80" w:type="dxa"/>
              <w:left w:w="120" w:type="dxa"/>
              <w:bottom w:w="80" w:type="dxa"/>
              <w:right w:w="120" w:type="dxa"/>
            </w:tcMar>
          </w:tcPr>
          <w:p w14:paraId="756C49BD">
            <w:pPr>
              <w:spacing w:before="30" w:after="30"/>
            </w:pPr>
            <w:r>
              <w:rPr>
                <w:rFonts w:ascii="Calibri" w:hAnsi="Calibri" w:eastAsia="Calibri" w:cs="Calibri"/>
                <w:sz w:val="22"/>
                <w:szCs w:val="22"/>
              </w:rPr>
              <w:t>[Y</w:t>
            </w:r>
            <w:r>
              <w:rPr>
                <w:rFonts w:hint="default" w:cs="Calibri"/>
                <w:sz w:val="22"/>
                <w:szCs w:val="22"/>
                <w:lang w:val="en-US"/>
              </w:rPr>
              <w:t>utongSun</w:t>
            </w:r>
            <w:r>
              <w:rPr>
                <w:rFonts w:ascii="Calibri" w:hAnsi="Calibri" w:eastAsia="Calibri" w:cs="Calibri"/>
                <w:sz w:val="22"/>
                <w:szCs w:val="22"/>
              </w:rPr>
              <w:t>]</w:t>
            </w:r>
          </w:p>
        </w:tc>
      </w:tr>
      <w:tr w14:paraId="0CA24F08">
        <w:trPr>
          <w:jc w:val="center"/>
        </w:trPr>
        <w:tc>
          <w:tcPr>
            <w:tcW w:w="2400" w:type="dxa"/>
            <w:tcBorders>
              <w:top w:val="single" w:color="CCCCCC" w:sz="6" w:space="0"/>
              <w:left w:val="single" w:color="CCCCCC" w:sz="6" w:space="0"/>
              <w:bottom w:val="single" w:color="CCCCCC" w:sz="6" w:space="0"/>
              <w:right w:val="single" w:color="CCCCCC" w:sz="6" w:space="0"/>
            </w:tcBorders>
            <w:shd w:val="clear" w:color="auto" w:fill="D9E2F3"/>
            <w:tcMar>
              <w:top w:w="80" w:type="dxa"/>
              <w:left w:w="120" w:type="dxa"/>
              <w:bottom w:w="80" w:type="dxa"/>
              <w:right w:w="120" w:type="dxa"/>
            </w:tcMar>
          </w:tcPr>
          <w:p w14:paraId="1774D429">
            <w:pPr>
              <w:spacing w:before="30" w:after="30"/>
            </w:pPr>
            <w:r>
              <w:rPr>
                <w:rFonts w:ascii="Calibri" w:hAnsi="Calibri" w:eastAsia="Calibri" w:cs="Calibri"/>
                <w:b/>
                <w:bCs/>
                <w:sz w:val="22"/>
                <w:szCs w:val="22"/>
              </w:rPr>
              <w:t>Student ID</w:t>
            </w:r>
          </w:p>
        </w:tc>
        <w:tc>
          <w:tcPr>
            <w:tcW w:w="4800" w:type="dxa"/>
            <w:tcBorders>
              <w:top w:val="single" w:color="CCCCCC" w:sz="6" w:space="0"/>
              <w:left w:val="single" w:color="CCCCCC" w:sz="6" w:space="0"/>
              <w:bottom w:val="single" w:color="CCCCCC" w:sz="6" w:space="0"/>
              <w:right w:val="single" w:color="CCCCCC" w:sz="6" w:space="0"/>
            </w:tcBorders>
            <w:tcMar>
              <w:top w:w="80" w:type="dxa"/>
              <w:left w:w="120" w:type="dxa"/>
              <w:bottom w:w="80" w:type="dxa"/>
              <w:right w:w="120" w:type="dxa"/>
            </w:tcMar>
          </w:tcPr>
          <w:p w14:paraId="7A0A3A62">
            <w:pPr>
              <w:spacing w:before="30" w:after="30"/>
            </w:pPr>
            <w:r>
              <w:rPr>
                <w:rFonts w:ascii="Calibri" w:hAnsi="Calibri" w:eastAsia="Calibri" w:cs="Calibri"/>
                <w:sz w:val="22"/>
                <w:szCs w:val="22"/>
              </w:rPr>
              <w:t>[</w:t>
            </w:r>
            <w:r>
              <w:rPr>
                <w:rFonts w:hint="default" w:cs="Calibri"/>
                <w:sz w:val="22"/>
                <w:szCs w:val="22"/>
                <w:lang w:val="en-US"/>
              </w:rPr>
              <w:t>2472987</w:t>
            </w:r>
            <w:r>
              <w:rPr>
                <w:rFonts w:ascii="Calibri" w:hAnsi="Calibri" w:eastAsia="Calibri" w:cs="Calibri"/>
                <w:sz w:val="22"/>
                <w:szCs w:val="22"/>
              </w:rPr>
              <w:t>]</w:t>
            </w:r>
          </w:p>
        </w:tc>
      </w:tr>
      <w:tr w14:paraId="7E5F4A09">
        <w:trPr>
          <w:jc w:val="center"/>
        </w:trPr>
        <w:tc>
          <w:tcPr>
            <w:tcW w:w="2400" w:type="dxa"/>
            <w:tcBorders>
              <w:top w:val="single" w:color="CCCCCC" w:sz="6" w:space="0"/>
              <w:left w:val="single" w:color="CCCCCC" w:sz="6" w:space="0"/>
              <w:bottom w:val="single" w:color="CCCCCC" w:sz="6" w:space="0"/>
              <w:right w:val="single" w:color="CCCCCC" w:sz="6" w:space="0"/>
            </w:tcBorders>
            <w:shd w:val="clear" w:color="auto" w:fill="D9E2F3"/>
            <w:tcMar>
              <w:top w:w="80" w:type="dxa"/>
              <w:left w:w="120" w:type="dxa"/>
              <w:bottom w:w="80" w:type="dxa"/>
              <w:right w:w="120" w:type="dxa"/>
            </w:tcMar>
          </w:tcPr>
          <w:p w14:paraId="1FD95739">
            <w:pPr>
              <w:spacing w:before="30" w:after="30"/>
            </w:pPr>
            <w:r>
              <w:rPr>
                <w:rFonts w:ascii="Calibri" w:hAnsi="Calibri" w:eastAsia="Calibri" w:cs="Calibri"/>
                <w:b/>
                <w:bCs/>
                <w:sz w:val="22"/>
                <w:szCs w:val="22"/>
              </w:rPr>
              <w:t>Submission date</w:t>
            </w:r>
          </w:p>
        </w:tc>
        <w:tc>
          <w:tcPr>
            <w:tcW w:w="4800" w:type="dxa"/>
            <w:tcBorders>
              <w:top w:val="single" w:color="CCCCCC" w:sz="6" w:space="0"/>
              <w:left w:val="single" w:color="CCCCCC" w:sz="6" w:space="0"/>
              <w:bottom w:val="single" w:color="CCCCCC" w:sz="6" w:space="0"/>
              <w:right w:val="single" w:color="CCCCCC" w:sz="6" w:space="0"/>
            </w:tcBorders>
            <w:tcMar>
              <w:top w:w="80" w:type="dxa"/>
              <w:left w:w="120" w:type="dxa"/>
              <w:bottom w:w="80" w:type="dxa"/>
              <w:right w:w="120" w:type="dxa"/>
            </w:tcMar>
          </w:tcPr>
          <w:p w14:paraId="2D6BD00F">
            <w:pPr>
              <w:spacing w:before="30" w:after="30"/>
            </w:pPr>
            <w:r>
              <w:rPr>
                <w:rFonts w:ascii="Calibri" w:hAnsi="Calibri" w:eastAsia="Calibri" w:cs="Calibri"/>
                <w:sz w:val="22"/>
                <w:szCs w:val="22"/>
              </w:rPr>
              <w:t>[</w:t>
            </w:r>
            <w:r>
              <w:rPr>
                <w:rFonts w:hint="default" w:cs="Calibri"/>
                <w:sz w:val="22"/>
                <w:szCs w:val="22"/>
                <w:lang w:val="en-US"/>
              </w:rPr>
              <w:t>2026.4.26</w:t>
            </w:r>
            <w:bookmarkStart w:id="0" w:name="_GoBack"/>
            <w:bookmarkEnd w:id="0"/>
            <w:r>
              <w:rPr>
                <w:rFonts w:ascii="Calibri" w:hAnsi="Calibri" w:eastAsia="Calibri" w:cs="Calibri"/>
                <w:sz w:val="22"/>
                <w:szCs w:val="22"/>
              </w:rPr>
              <w:t>]</w:t>
            </w:r>
          </w:p>
        </w:tc>
      </w:tr>
    </w:tbl>
    <w:p w14:paraId="7BC7EE3C"/>
    <w:p w14:paraId="2EBE2A8B">
      <w:pPr>
        <w:pStyle w:val="2"/>
        <w:pBdr>
          <w:bottom w:val="single" w:color="1F3864" w:sz="8" w:space="4"/>
        </w:pBdr>
        <w:spacing w:before="280" w:after="120"/>
      </w:pPr>
      <w:r>
        <w:rPr>
          <w:rFonts w:ascii="Calibri" w:hAnsi="Calibri" w:eastAsia="Calibri" w:cs="Calibri"/>
          <w:b/>
          <w:bCs/>
          <w:color w:val="1F3864"/>
          <w:sz w:val="28"/>
          <w:szCs w:val="28"/>
        </w:rPr>
        <w:t>1. Introduction</w:t>
      </w:r>
    </w:p>
    <w:p w14:paraId="4E7BF149">
      <w:pPr>
        <w:spacing w:before="60" w:after="60" w:line="300" w:lineRule="auto"/>
        <w:jc w:val="both"/>
      </w:pPr>
      <w:r>
        <w:rPr>
          <w:rFonts w:ascii="Calibri" w:hAnsi="Calibri" w:eastAsia="Calibri" w:cs="Calibri"/>
          <w:sz w:val="22"/>
          <w:szCs w:val="22"/>
        </w:rPr>
        <w:t>This report reflects on the E-commerce Sales Dashboard I built for Track 4 of the ACC102 mini assignment. The project turns the Brazilian E-Commerce Public Dataset by Olist (Kaggle, accessed April 2026) into an interactive Streamlit tool. Its target user is an operations manager who needs to answer the same questions every week — which categories drive revenue, which regions are profitable after shipping, when customers buy, and where quality risks hide — but for different filtered slices. A static report answers each question once; an interactive dashboard answers them every filter change. That gap is what this project addresses.</w:t>
      </w:r>
    </w:p>
    <w:p w14:paraId="201984B0">
      <w:pPr>
        <w:pStyle w:val="2"/>
        <w:pBdr>
          <w:bottom w:val="single" w:color="1F3864" w:sz="8" w:space="4"/>
        </w:pBdr>
        <w:spacing w:before="280" w:after="120"/>
      </w:pPr>
      <w:r>
        <w:rPr>
          <w:rFonts w:ascii="Calibri" w:hAnsi="Calibri" w:eastAsia="Calibri" w:cs="Calibri"/>
          <w:b/>
          <w:bCs/>
          <w:color w:val="1F3864"/>
          <w:sz w:val="28"/>
          <w:szCs w:val="28"/>
        </w:rPr>
        <w:t>2. Methodology</w:t>
      </w:r>
    </w:p>
    <w:p w14:paraId="1716F550">
      <w:pPr>
        <w:spacing w:before="60" w:after="60" w:line="300" w:lineRule="auto"/>
        <w:jc w:val="both"/>
      </w:pPr>
      <w:r>
        <w:rPr>
          <w:rFonts w:ascii="Calibri" w:hAnsi="Calibri" w:eastAsia="Calibri" w:cs="Calibri"/>
          <w:sz w:val="22"/>
          <w:szCs w:val="22"/>
        </w:rPr>
        <w:t>The pipeline lives in 01_data_cleaning_and_analysis.ipynb. It filters orders to the delivered status, translates Portuguese category names to English, deduplicates reviews so a merge cannot inflate revenue, and joins five tables (items, orders, products, customers, reviews) — using inner joins for essential links and a left join for reviews. The output is data/cleaned_sales.csv, a single tidy file (~107k rows, 20 MB) that the dashboard consumes. The app itself is one app.py organised into clearly numbered sections, with sidebar filters that apply globally and four pages that operate as pure functions of the filtered DataFrame. I used @st.cache_data so re-filtering does not trigger CSV re-reads, and Plotly for all interactive charts. Paths are anchored with Path(__file__).parent so the project runs unchanged after cloning.</w:t>
      </w:r>
    </w:p>
    <w:p w14:paraId="6B4B43F8">
      <w:pPr>
        <w:pStyle w:val="2"/>
        <w:pBdr>
          <w:bottom w:val="single" w:color="1F3864" w:sz="8" w:space="4"/>
        </w:pBdr>
        <w:spacing w:before="280" w:after="120"/>
      </w:pPr>
      <w:r>
        <w:rPr>
          <w:rFonts w:ascii="Calibri" w:hAnsi="Calibri" w:eastAsia="Calibri" w:cs="Calibri"/>
          <w:b/>
          <w:bCs/>
          <w:color w:val="1F3864"/>
          <w:sz w:val="28"/>
          <w:szCs w:val="28"/>
        </w:rPr>
        <w:t>3. Key Findings</w:t>
      </w:r>
    </w:p>
    <w:p w14:paraId="47D9E6E2">
      <w:pPr>
        <w:spacing w:before="60" w:after="60" w:line="300" w:lineRule="auto"/>
        <w:jc w:val="both"/>
      </w:pPr>
      <w:r>
        <w:rPr>
          <w:rFonts w:ascii="Calibri" w:hAnsi="Calibri" w:eastAsia="Calibri" w:cs="Calibri"/>
          <w:sz w:val="22"/>
          <w:szCs w:val="22"/>
        </w:rPr>
        <w:t>Five findings emerged. First, revenue grew steadily through 2017–2018 with a clear Black Friday 2017 spike, confirming genuine growth rather than a one-off anomaly. Second, categories follow textbook Pareto concentration — a small fraction produces ~80% of revenue, dominated by bed-bath-table, health-beauty, and sports-leisure. Third, geography is concentrated in São Paulo, Rio de Janeiro, and Minas Gerais — the south-eastern economic corridor — while northern states carry freight burdens above 30% of order value, making them better candidates for free-shipping campaigns than price competition. Fourth, a handful of high-revenue categories sit below a 3.8-star rating, flagging retention risk. Fifth, orders peak on weekday afternoons (14:00–22:00), not weekends — directly implicating staffing decisions.</w:t>
      </w:r>
    </w:p>
    <w:p w14:paraId="74F17712">
      <w:pPr>
        <w:pStyle w:val="2"/>
        <w:pBdr>
          <w:bottom w:val="single" w:color="1F3864" w:sz="8" w:space="4"/>
        </w:pBdr>
        <w:spacing w:before="280" w:after="120"/>
      </w:pPr>
      <w:r>
        <w:rPr>
          <w:rFonts w:ascii="Calibri" w:hAnsi="Calibri" w:eastAsia="Calibri" w:cs="Calibri"/>
          <w:b/>
          <w:bCs/>
          <w:color w:val="1F3864"/>
          <w:sz w:val="28"/>
          <w:szCs w:val="28"/>
        </w:rPr>
        <w:t>4. Limitations</w:t>
      </w:r>
    </w:p>
    <w:p w14:paraId="664E2C97">
      <w:pPr>
        <w:spacing w:before="60" w:after="60" w:line="300" w:lineRule="auto"/>
        <w:jc w:val="both"/>
      </w:pPr>
      <w:r>
        <w:rPr>
          <w:rFonts w:ascii="Calibri" w:hAnsi="Calibri" w:eastAsia="Calibri" w:cs="Calibri"/>
          <w:sz w:val="22"/>
          <w:szCs w:val="22"/>
        </w:rPr>
        <w:t>Five boundary conditions apply. (1) The data is historical (2016–2018) and Brazil-specific, so findings illustrate a real marketplace but are not a forecast. (2) total_value is price plus freight — what the customer pays — not gross margin, since Olist publishes no cost data. (3) Reviews are self-selected, making rating-based red flags hypotheses rather than conclusions. (4) Olist's ~70 categories include both narrow and catch-all classes, weakening direct comparisons. (5) Values are unadjusted for inflation, which matters for multi-year growth claims.</w:t>
      </w:r>
    </w:p>
    <w:p w14:paraId="790CBD5F">
      <w:pPr>
        <w:pStyle w:val="2"/>
        <w:pBdr>
          <w:bottom w:val="single" w:color="1F3864" w:sz="8" w:space="4"/>
        </w:pBdr>
        <w:spacing w:before="280" w:after="120"/>
      </w:pPr>
      <w:r>
        <w:rPr>
          <w:rFonts w:ascii="Calibri" w:hAnsi="Calibri" w:eastAsia="Calibri" w:cs="Calibri"/>
          <w:b/>
          <w:bCs/>
          <w:color w:val="1F3864"/>
          <w:sz w:val="28"/>
          <w:szCs w:val="28"/>
        </w:rPr>
        <w:t>5. Difficulties Encountered</w:t>
      </w:r>
    </w:p>
    <w:p w14:paraId="3CA89B37">
      <w:pPr>
        <w:spacing w:before="60" w:after="60" w:line="300" w:lineRule="auto"/>
        <w:jc w:val="both"/>
      </w:pPr>
      <w:r>
        <w:rPr>
          <w:rFonts w:ascii="Calibri" w:hAnsi="Calibri" w:eastAsia="Calibri" w:cs="Calibri"/>
          <w:sz w:val="22"/>
          <w:szCs w:val="22"/>
        </w:rPr>
        <w:t>Three difficulties were instructive. Path resolution between notebook and app failed initially because Path.cwd() resolves differently in Jupyter and Streamlit; I anchored everything to Path(__file__).parent. Performance was sluggish on 100k rows until I added @st.cache_data and refactored each page to receive an already-filtered DataFrame. The Brazil choropleth showed an empty country until I matched featureidkey='properties.sigla' to my customer_state column, and I added a try/except fallback to a bar chart so a network failure never breaks the page.</w:t>
      </w:r>
    </w:p>
    <w:p w14:paraId="0BED9796">
      <w:pPr>
        <w:pStyle w:val="2"/>
        <w:pBdr>
          <w:bottom w:val="single" w:color="1F3864" w:sz="8" w:space="4"/>
        </w:pBdr>
        <w:spacing w:before="280" w:after="120"/>
      </w:pPr>
      <w:r>
        <w:rPr>
          <w:rFonts w:ascii="Calibri" w:hAnsi="Calibri" w:eastAsia="Calibri" w:cs="Calibri"/>
          <w:b/>
          <w:bCs/>
          <w:color w:val="1F3864"/>
          <w:sz w:val="28"/>
          <w:szCs w:val="28"/>
        </w:rPr>
        <w:t>6. Learning Outcomes</w:t>
      </w:r>
    </w:p>
    <w:p w14:paraId="25CE6D59">
      <w:pPr>
        <w:spacing w:before="60" w:after="60" w:line="300" w:lineRule="auto"/>
        <w:jc w:val="both"/>
      </w:pPr>
      <w:r>
        <w:rPr>
          <w:rFonts w:ascii="Calibri" w:hAnsi="Calibri" w:eastAsia="Calibri" w:cs="Calibri"/>
          <w:sz w:val="22"/>
          <w:szCs w:val="22"/>
        </w:rPr>
        <w:t>This project shifted my Python skills from cleaning data in a notebook to shipping a small data product someone else can run, read, and trust. Three concrete habits I now keep: separating pipeline from product with the cleaned CSV as a strict contract; designing for the marker as a user (sample data, friendly error pages, one-command launch); and pairing every chart with a written takeaway so a number is never presented without interpretation. Skills I want to develop further: statistical testing (the dashboard surfaces patterns but does not test them), RFM customer segmentation as a fifth page, and containerised deployment beyond a local instance.</w:t>
      </w:r>
    </w:p>
    <w:p w14:paraId="29522C18">
      <w:pPr>
        <w:pStyle w:val="2"/>
        <w:pBdr>
          <w:bottom w:val="single" w:color="1F3864" w:sz="8" w:space="4"/>
        </w:pBdr>
        <w:spacing w:before="280" w:after="120"/>
      </w:pPr>
      <w:r>
        <w:rPr>
          <w:rFonts w:ascii="Calibri" w:hAnsi="Calibri" w:eastAsia="Calibri" w:cs="Calibri"/>
          <w:b/>
          <w:bCs/>
          <w:color w:val="1F3864"/>
          <w:sz w:val="28"/>
          <w:szCs w:val="28"/>
        </w:rPr>
        <w:t>7. AI Disclosure</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F2BDCA5">
        <w:tc>
          <w:tcPr>
            <w:tcW w:w="2400" w:type="dxa"/>
            <w:tcBorders>
              <w:top w:val="single" w:color="CCCCCC" w:sz="6" w:space="0"/>
              <w:left w:val="single" w:color="CCCCCC" w:sz="6" w:space="0"/>
              <w:bottom w:val="single" w:color="CCCCCC" w:sz="6" w:space="0"/>
              <w:right w:val="single" w:color="CCCCCC" w:sz="6" w:space="0"/>
            </w:tcBorders>
            <w:shd w:val="clear" w:color="auto" w:fill="D9E2F3"/>
            <w:tcMar>
              <w:top w:w="80" w:type="dxa"/>
              <w:left w:w="120" w:type="dxa"/>
              <w:bottom w:w="80" w:type="dxa"/>
              <w:right w:w="120" w:type="dxa"/>
            </w:tcMar>
          </w:tcPr>
          <w:p w14:paraId="679244C6">
            <w:pPr>
              <w:spacing w:before="30" w:after="30"/>
            </w:pPr>
            <w:r>
              <w:rPr>
                <w:rFonts w:ascii="Calibri" w:hAnsi="Calibri" w:eastAsia="Calibri" w:cs="Calibri"/>
                <w:b/>
                <w:bCs/>
                <w:sz w:val="22"/>
                <w:szCs w:val="22"/>
              </w:rPr>
              <w:t>Tool &amp; version</w:t>
            </w:r>
          </w:p>
        </w:tc>
        <w:tc>
          <w:tcPr>
            <w:tcW w:w="6960" w:type="dxa"/>
            <w:tcBorders>
              <w:top w:val="single" w:color="CCCCCC" w:sz="6" w:space="0"/>
              <w:left w:val="single" w:color="CCCCCC" w:sz="6" w:space="0"/>
              <w:bottom w:val="single" w:color="CCCCCC" w:sz="6" w:space="0"/>
              <w:right w:val="single" w:color="CCCCCC" w:sz="6" w:space="0"/>
            </w:tcBorders>
            <w:tcMar>
              <w:top w:w="80" w:type="dxa"/>
              <w:left w:w="120" w:type="dxa"/>
              <w:bottom w:w="80" w:type="dxa"/>
              <w:right w:w="120" w:type="dxa"/>
            </w:tcMar>
          </w:tcPr>
          <w:p w14:paraId="38B817F1">
            <w:pPr>
              <w:spacing w:before="30" w:after="30"/>
            </w:pPr>
            <w:r>
              <w:rPr>
                <w:rFonts w:ascii="Calibri" w:hAnsi="Calibri" w:eastAsia="Calibri" w:cs="Calibri"/>
                <w:sz w:val="22"/>
                <w:szCs w:val="22"/>
              </w:rPr>
              <w:t>Claude Opus 4.7 (Anthropic)</w:t>
            </w:r>
          </w:p>
        </w:tc>
      </w:tr>
      <w:tr w14:paraId="626CAD94">
        <w:tc>
          <w:tcPr>
            <w:tcW w:w="2400" w:type="dxa"/>
            <w:tcBorders>
              <w:top w:val="single" w:color="CCCCCC" w:sz="6" w:space="0"/>
              <w:left w:val="single" w:color="CCCCCC" w:sz="6" w:space="0"/>
              <w:bottom w:val="single" w:color="CCCCCC" w:sz="6" w:space="0"/>
              <w:right w:val="single" w:color="CCCCCC" w:sz="6" w:space="0"/>
            </w:tcBorders>
            <w:shd w:val="clear" w:color="auto" w:fill="D9E2F3"/>
            <w:tcMar>
              <w:top w:w="80" w:type="dxa"/>
              <w:left w:w="120" w:type="dxa"/>
              <w:bottom w:w="80" w:type="dxa"/>
              <w:right w:w="120" w:type="dxa"/>
            </w:tcMar>
          </w:tcPr>
          <w:p w14:paraId="2EBFC53C">
            <w:pPr>
              <w:spacing w:before="30" w:after="30"/>
            </w:pPr>
            <w:r>
              <w:rPr>
                <w:rFonts w:ascii="Calibri" w:hAnsi="Calibri" w:eastAsia="Calibri" w:cs="Calibri"/>
                <w:b/>
                <w:bCs/>
                <w:sz w:val="22"/>
                <w:szCs w:val="22"/>
              </w:rPr>
              <w:t>Access date</w:t>
            </w:r>
          </w:p>
        </w:tc>
        <w:tc>
          <w:tcPr>
            <w:tcW w:w="6960" w:type="dxa"/>
            <w:tcBorders>
              <w:top w:val="single" w:color="CCCCCC" w:sz="6" w:space="0"/>
              <w:left w:val="single" w:color="CCCCCC" w:sz="6" w:space="0"/>
              <w:bottom w:val="single" w:color="CCCCCC" w:sz="6" w:space="0"/>
              <w:right w:val="single" w:color="CCCCCC" w:sz="6" w:space="0"/>
            </w:tcBorders>
            <w:tcMar>
              <w:top w:w="80" w:type="dxa"/>
              <w:left w:w="120" w:type="dxa"/>
              <w:bottom w:w="80" w:type="dxa"/>
              <w:right w:w="120" w:type="dxa"/>
            </w:tcMar>
          </w:tcPr>
          <w:p w14:paraId="0C47B7E3">
            <w:pPr>
              <w:spacing w:before="30" w:after="30"/>
            </w:pPr>
            <w:r>
              <w:rPr>
                <w:rFonts w:ascii="Calibri" w:hAnsi="Calibri" w:eastAsia="Calibri" w:cs="Calibri"/>
                <w:sz w:val="22"/>
                <w:szCs w:val="22"/>
              </w:rPr>
              <w:t>April 2026 (multiple sessions)</w:t>
            </w:r>
          </w:p>
        </w:tc>
      </w:tr>
      <w:tr w14:paraId="03877FBD">
        <w:tc>
          <w:tcPr>
            <w:tcW w:w="2400" w:type="dxa"/>
            <w:tcBorders>
              <w:top w:val="single" w:color="CCCCCC" w:sz="6" w:space="0"/>
              <w:left w:val="single" w:color="CCCCCC" w:sz="6" w:space="0"/>
              <w:bottom w:val="single" w:color="CCCCCC" w:sz="6" w:space="0"/>
              <w:right w:val="single" w:color="CCCCCC" w:sz="6" w:space="0"/>
            </w:tcBorders>
            <w:shd w:val="clear" w:color="auto" w:fill="D9E2F3"/>
            <w:tcMar>
              <w:top w:w="80" w:type="dxa"/>
              <w:left w:w="120" w:type="dxa"/>
              <w:bottom w:w="80" w:type="dxa"/>
              <w:right w:w="120" w:type="dxa"/>
            </w:tcMar>
          </w:tcPr>
          <w:p w14:paraId="16045D85">
            <w:pPr>
              <w:spacing w:before="30" w:after="30"/>
            </w:pPr>
            <w:r>
              <w:rPr>
                <w:rFonts w:ascii="Calibri" w:hAnsi="Calibri" w:eastAsia="Calibri" w:cs="Calibri"/>
                <w:b/>
                <w:bCs/>
                <w:sz w:val="22"/>
                <w:szCs w:val="22"/>
              </w:rPr>
              <w:t>Where used</w:t>
            </w:r>
          </w:p>
        </w:tc>
        <w:tc>
          <w:tcPr>
            <w:tcW w:w="6960" w:type="dxa"/>
            <w:tcBorders>
              <w:top w:val="single" w:color="CCCCCC" w:sz="6" w:space="0"/>
              <w:left w:val="single" w:color="CCCCCC" w:sz="6" w:space="0"/>
              <w:bottom w:val="single" w:color="CCCCCC" w:sz="6" w:space="0"/>
              <w:right w:val="single" w:color="CCCCCC" w:sz="6" w:space="0"/>
            </w:tcBorders>
            <w:tcMar>
              <w:top w:w="80" w:type="dxa"/>
              <w:left w:w="120" w:type="dxa"/>
              <w:bottom w:w="80" w:type="dxa"/>
              <w:right w:w="120" w:type="dxa"/>
            </w:tcMar>
          </w:tcPr>
          <w:p w14:paraId="10DAB88C">
            <w:pPr>
              <w:spacing w:before="30" w:after="30"/>
            </w:pPr>
            <w:r>
              <w:rPr>
                <w:rFonts w:ascii="Calibri" w:hAnsi="Calibri" w:eastAsia="Calibri" w:cs="Calibri"/>
                <w:sz w:val="22"/>
                <w:szCs w:val="22"/>
              </w:rPr>
              <w:t>Drafting structure of app.py and the notebook; suggesting visualisation patterns (Pareto, treemap colouring); drafting README and this report; reviewing code for clarity; debugging path-resolution and caching issues.</w:t>
            </w:r>
          </w:p>
        </w:tc>
      </w:tr>
      <w:tr w14:paraId="027DA3AD">
        <w:tc>
          <w:tcPr>
            <w:tcW w:w="2400" w:type="dxa"/>
            <w:tcBorders>
              <w:top w:val="single" w:color="CCCCCC" w:sz="6" w:space="0"/>
              <w:left w:val="single" w:color="CCCCCC" w:sz="6" w:space="0"/>
              <w:bottom w:val="single" w:color="CCCCCC" w:sz="6" w:space="0"/>
              <w:right w:val="single" w:color="CCCCCC" w:sz="6" w:space="0"/>
            </w:tcBorders>
            <w:shd w:val="clear" w:color="auto" w:fill="D9E2F3"/>
            <w:tcMar>
              <w:top w:w="80" w:type="dxa"/>
              <w:left w:w="120" w:type="dxa"/>
              <w:bottom w:w="80" w:type="dxa"/>
              <w:right w:w="120" w:type="dxa"/>
            </w:tcMar>
          </w:tcPr>
          <w:p w14:paraId="7FAE3071">
            <w:pPr>
              <w:spacing w:before="30" w:after="30"/>
            </w:pPr>
            <w:r>
              <w:rPr>
                <w:rFonts w:ascii="Calibri" w:hAnsi="Calibri" w:eastAsia="Calibri" w:cs="Calibri"/>
                <w:b/>
                <w:bCs/>
                <w:sz w:val="22"/>
                <w:szCs w:val="22"/>
              </w:rPr>
              <w:t>Where NOT used</w:t>
            </w:r>
          </w:p>
        </w:tc>
        <w:tc>
          <w:tcPr>
            <w:tcW w:w="6960" w:type="dxa"/>
            <w:tcBorders>
              <w:top w:val="single" w:color="CCCCCC" w:sz="6" w:space="0"/>
              <w:left w:val="single" w:color="CCCCCC" w:sz="6" w:space="0"/>
              <w:bottom w:val="single" w:color="CCCCCC" w:sz="6" w:space="0"/>
              <w:right w:val="single" w:color="CCCCCC" w:sz="6" w:space="0"/>
            </w:tcBorders>
            <w:tcMar>
              <w:top w:w="80" w:type="dxa"/>
              <w:left w:w="120" w:type="dxa"/>
              <w:bottom w:w="80" w:type="dxa"/>
              <w:right w:w="120" w:type="dxa"/>
            </w:tcMar>
          </w:tcPr>
          <w:p w14:paraId="508CC613">
            <w:pPr>
              <w:spacing w:before="30" w:after="30"/>
            </w:pPr>
            <w:r>
              <w:rPr>
                <w:rFonts w:ascii="Calibri" w:hAnsi="Calibri" w:eastAsia="Calibri" w:cs="Calibri"/>
                <w:sz w:val="22"/>
                <w:szCs w:val="22"/>
              </w:rPr>
              <w:t>Choosing the dataset; running code; writing analytical findings without verification; interpreting results.</w:t>
            </w:r>
          </w:p>
        </w:tc>
      </w:tr>
      <w:tr w14:paraId="79B96ECD">
        <w:tc>
          <w:tcPr>
            <w:tcW w:w="2400" w:type="dxa"/>
            <w:tcBorders>
              <w:top w:val="single" w:color="CCCCCC" w:sz="6" w:space="0"/>
              <w:left w:val="single" w:color="CCCCCC" w:sz="6" w:space="0"/>
              <w:bottom w:val="single" w:color="CCCCCC" w:sz="6" w:space="0"/>
              <w:right w:val="single" w:color="CCCCCC" w:sz="6" w:space="0"/>
            </w:tcBorders>
            <w:shd w:val="clear" w:color="auto" w:fill="D9E2F3"/>
            <w:tcMar>
              <w:top w:w="80" w:type="dxa"/>
              <w:left w:w="120" w:type="dxa"/>
              <w:bottom w:w="80" w:type="dxa"/>
              <w:right w:w="120" w:type="dxa"/>
            </w:tcMar>
          </w:tcPr>
          <w:p w14:paraId="1635B607">
            <w:pPr>
              <w:spacing w:before="30" w:after="30"/>
            </w:pPr>
            <w:r>
              <w:rPr>
                <w:rFonts w:ascii="Calibri" w:hAnsi="Calibri" w:eastAsia="Calibri" w:cs="Calibri"/>
                <w:b/>
                <w:bCs/>
                <w:sz w:val="22"/>
                <w:szCs w:val="22"/>
              </w:rPr>
              <w:t>Responsibility</w:t>
            </w:r>
          </w:p>
        </w:tc>
        <w:tc>
          <w:tcPr>
            <w:tcW w:w="6960" w:type="dxa"/>
            <w:tcBorders>
              <w:top w:val="single" w:color="CCCCCC" w:sz="6" w:space="0"/>
              <w:left w:val="single" w:color="CCCCCC" w:sz="6" w:space="0"/>
              <w:bottom w:val="single" w:color="CCCCCC" w:sz="6" w:space="0"/>
              <w:right w:val="single" w:color="CCCCCC" w:sz="6" w:space="0"/>
            </w:tcBorders>
            <w:tcMar>
              <w:top w:w="80" w:type="dxa"/>
              <w:left w:w="120" w:type="dxa"/>
              <w:bottom w:w="80" w:type="dxa"/>
              <w:right w:w="120" w:type="dxa"/>
            </w:tcMar>
          </w:tcPr>
          <w:p w14:paraId="41A87041">
            <w:pPr>
              <w:spacing w:before="30" w:after="30"/>
            </w:pPr>
            <w:r>
              <w:rPr>
                <w:rFonts w:ascii="Calibri" w:hAnsi="Calibri" w:eastAsia="Calibri" w:cs="Calibri"/>
                <w:sz w:val="22"/>
                <w:szCs w:val="22"/>
              </w:rPr>
              <w:t>I ran every line of code, verified every output, edited every AI-suggested passage. Problem framing, dashboard structure, findings, and limitations are my own.</w:t>
            </w:r>
          </w:p>
        </w:tc>
      </w:tr>
    </w:tbl>
    <w:p w14:paraId="0536BFCD">
      <w:pPr>
        <w:pStyle w:val="2"/>
        <w:pBdr>
          <w:bottom w:val="single" w:color="1F3864" w:sz="8" w:space="4"/>
        </w:pBdr>
        <w:spacing w:before="280" w:after="120"/>
      </w:pPr>
      <w:r>
        <w:rPr>
          <w:rFonts w:ascii="Calibri" w:hAnsi="Calibri" w:eastAsia="Calibri" w:cs="Calibri"/>
          <w:b/>
          <w:bCs/>
          <w:color w:val="1F3864"/>
          <w:sz w:val="28"/>
          <w:szCs w:val="28"/>
        </w:rPr>
        <w:t>References</w:t>
      </w:r>
    </w:p>
    <w:p w14:paraId="290DEE9A">
      <w:pPr>
        <w:spacing w:before="60" w:after="60" w:line="300" w:lineRule="auto"/>
        <w:jc w:val="both"/>
      </w:pPr>
      <w:r>
        <w:rPr>
          <w:rFonts w:ascii="Calibri" w:hAnsi="Calibri" w:eastAsia="Calibri" w:cs="Calibri"/>
          <w:sz w:val="22"/>
          <w:szCs w:val="22"/>
        </w:rPr>
        <w:t>Olist (2018). Brazilian E-Commerce Public Dataset. Kaggle. CC BY-NC-SA 4.0. Accessed April 2026. https://www.kaggle.com/datasets/olistbr/brazilian-ecommerce</w:t>
      </w:r>
    </w:p>
    <w:p w14:paraId="665DEFA2">
      <w:pPr>
        <w:spacing w:before="60" w:after="60" w:line="300" w:lineRule="auto"/>
        <w:jc w:val="both"/>
      </w:pPr>
      <w:r>
        <w:rPr>
          <w:rFonts w:ascii="Calibri" w:hAnsi="Calibri" w:eastAsia="Calibri" w:cs="Calibri"/>
          <w:sz w:val="22"/>
          <w:szCs w:val="22"/>
        </w:rPr>
        <w:t>Streamlit (2026). Streamlit Documentation. https://docs.streamlit.io</w:t>
      </w:r>
    </w:p>
    <w:p w14:paraId="0DBAB2EB">
      <w:pPr>
        <w:spacing w:before="60" w:after="60" w:line="300" w:lineRule="auto"/>
        <w:jc w:val="both"/>
      </w:pPr>
      <w:r>
        <w:rPr>
          <w:rFonts w:ascii="Calibri" w:hAnsi="Calibri" w:eastAsia="Calibri" w:cs="Calibri"/>
          <w:sz w:val="22"/>
          <w:szCs w:val="22"/>
        </w:rPr>
        <w:t>Plotly Technologies Inc. (2026). Plotly Python Graphing Library. https://plotly.com/python/</w:t>
      </w:r>
    </w:p>
    <w:p w14:paraId="19DBC4C2">
      <w:pPr>
        <w:spacing w:before="60" w:after="60" w:line="300" w:lineRule="auto"/>
        <w:jc w:val="both"/>
      </w:pPr>
      <w:r>
        <w:rPr>
          <w:rFonts w:ascii="Calibri" w:hAnsi="Calibri" w:eastAsia="Calibri" w:cs="Calibri"/>
          <w:sz w:val="22"/>
          <w:szCs w:val="22"/>
        </w:rPr>
        <w:t>click_that_hood / codeforgermany (2024). Brazil States GeoJSON. https://github.com/codeforgermany/click_that_hood</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B341">
    <w:pPr>
      <w:jc w:val="center"/>
    </w:pPr>
    <w:r>
      <w:rPr>
        <w:rFonts w:ascii="Calibri" w:hAnsi="Calibri" w:eastAsia="Calibri" w:cs="Calibri"/>
        <w:color w:val="808080"/>
        <w:sz w:val="18"/>
        <w:szCs w:val="18"/>
      </w:rPr>
      <w:t xml:space="preserve">Page </w:t>
    </w: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PAGE</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r>
      <w:rPr>
        <w:rFonts w:ascii="Calibri" w:hAnsi="Calibri" w:eastAsia="Calibri" w:cs="Calibri"/>
        <w:color w:val="808080"/>
        <w:sz w:val="18"/>
        <w:szCs w:val="18"/>
      </w:rPr>
      <w:t xml:space="preserve"> of </w:t>
    </w: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NUMPAGES</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F3239">
    <w:pPr>
      <w:jc w:val="right"/>
    </w:pPr>
    <w:r>
      <w:rPr>
        <w:rFonts w:ascii="Calibri" w:hAnsi="Calibri" w:eastAsia="Calibri" w:cs="Calibri"/>
        <w:i/>
        <w:iCs/>
        <w:color w:val="808080"/>
        <w:sz w:val="18"/>
        <w:szCs w:val="18"/>
      </w:rPr>
      <w:t>Reflective Report — ACC102 Track 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documentProtection w:enforcement="0"/>
  <w:compat>
    <w:useFELayout/>
    <w:compatSetting w:name="compatibilityMode" w:uri="http://schemas.microsoft.com/office/word" w:val="15"/>
  </w:compat>
  <w:docVars>
    <w:docVar w:name="commondata" w:val="eyJoZGlkIjoiMDVmZDFlODA5ZTE3ZmVmODdkODJiMDdmYzA5ZjU4NWIifQ=="/>
  </w:docVars>
  <w:rsids>
    <w:rsidRoot w:val="00000000"/>
    <w:rsid w:val="ED7F4C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Calibri"/>
      <w:sz w:val="22"/>
      <w:szCs w:val="22"/>
    </w:rPr>
  </w:style>
  <w:style w:type="paragraph" w:styleId="2">
    <w:name w:val="heading 1"/>
    <w:next w:val="1"/>
    <w:qFormat/>
    <w:uiPriority w:val="0"/>
    <w:pPr>
      <w:spacing w:before="280" w:after="120"/>
      <w:outlineLvl w:val="0"/>
    </w:pPr>
    <w:rPr>
      <w:rFonts w:ascii="Calibri" w:hAnsi="Calibri" w:eastAsia="Calibri" w:cs="Calibri"/>
      <w:b/>
      <w:bCs/>
      <w:color w:val="1F3864"/>
      <w:sz w:val="28"/>
      <w:szCs w:val="28"/>
    </w:rPr>
  </w:style>
  <w:style w:type="paragraph" w:styleId="3">
    <w:name w:val="heading 2"/>
    <w:next w:val="1"/>
    <w:qFormat/>
    <w:uiPriority w:val="0"/>
    <w:pPr>
      <w:spacing w:before="180" w:after="80"/>
      <w:outlineLvl w:val="1"/>
    </w:pPr>
    <w:rPr>
      <w:rFonts w:ascii="Calibri" w:hAnsi="Calibri" w:eastAsia="Calibri" w:cs="Calibri"/>
      <w:b/>
      <w:bCs/>
      <w:color w:val="2E75B6"/>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Calibri" w:hAnsi="Calibri" w:eastAsia="Calibri" w:cs="Calibri"/>
      <w:sz w:val="20"/>
      <w:szCs w:val="20"/>
    </w:rPr>
  </w:style>
  <w:style w:type="paragraph" w:styleId="9">
    <w:name w:val="footnote text"/>
    <w:link w:val="17"/>
    <w:semiHidden/>
    <w:unhideWhenUsed/>
    <w:uiPriority w:val="99"/>
    <w:pPr>
      <w:spacing w:after="0" w:line="240" w:lineRule="auto"/>
    </w:pPr>
    <w:rPr>
      <w:rFonts w:ascii="Calibri" w:hAnsi="Calibri" w:eastAsia="Calibri" w:cs="Calibri"/>
      <w:sz w:val="20"/>
      <w:szCs w:val="20"/>
    </w:rPr>
  </w:style>
  <w:style w:type="paragraph" w:styleId="10">
    <w:name w:val="Title"/>
    <w:qFormat/>
    <w:uiPriority w:val="0"/>
    <w:rPr>
      <w:rFonts w:ascii="Calibri" w:hAnsi="Calibri" w:eastAsia="Calibri" w:cs="Calibr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1</TotalTime>
  <ScaleCrop>false</ScaleCrop>
  <LinksUpToDate>false</LinksUpToDate>
  <Application>WPS Office_6.10.1.8873_F1E327BC-269C-435d-A152-05C5408002CA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孙禹桐</cp:lastModifiedBy>
  <dcterms:modified xsi:type="dcterms:W3CDTF">2026-04-26T23:15:21Z</dcterms:modified>
  <dc:title>Reflective Report — E-commerce Sales Dashboard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F7E1583F96110991092CEE69C9F9F964_42</vt:lpwstr>
  </property>
</Properties>
</file>