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98BAC" w14:textId="62CB3469" w:rsidR="00F121BF" w:rsidRDefault="00A32944">
      <w:pPr>
        <w:spacing w:before="1800" w:after="240"/>
        <w:jc w:val="center"/>
      </w:pPr>
      <w:r>
        <w:rPr>
          <w:rFonts w:eastAsia="Calibri"/>
          <w:b/>
          <w:bCs/>
          <w:color w:val="1F3864"/>
          <w:sz w:val="48"/>
          <w:szCs w:val="48"/>
        </w:rPr>
        <w:t>Reflective Report</w:t>
      </w:r>
    </w:p>
    <w:p w14:paraId="57700DB7" w14:textId="77777777" w:rsidR="00F121BF" w:rsidRDefault="00A32944">
      <w:pPr>
        <w:spacing w:after="600"/>
        <w:jc w:val="center"/>
      </w:pPr>
      <w:r>
        <w:rPr>
          <w:rFonts w:eastAsia="Calibri"/>
          <w:color w:val="2E75B6"/>
          <w:sz w:val="32"/>
          <w:szCs w:val="32"/>
        </w:rPr>
        <w:t>E-commerce Sales Dashboard</w:t>
      </w:r>
    </w:p>
    <w:p w14:paraId="00CB0338" w14:textId="77777777" w:rsidR="00F121BF" w:rsidRDefault="00A32944">
      <w:pPr>
        <w:spacing w:after="160"/>
        <w:jc w:val="center"/>
      </w:pPr>
      <w:r>
        <w:rPr>
          <w:rFonts w:eastAsia="Calibri"/>
          <w:i/>
          <w:iCs/>
          <w:sz w:val="24"/>
          <w:szCs w:val="24"/>
        </w:rPr>
        <w:t>ACC102 Mini Assignment — Track 4: Interactive Data Analysis Tool</w:t>
      </w:r>
    </w:p>
    <w:p w14:paraId="074737BD" w14:textId="77777777" w:rsidR="00F121BF" w:rsidRDefault="00A32944">
      <w:pPr>
        <w:spacing w:after="1200"/>
        <w:jc w:val="center"/>
      </w:pPr>
      <w:r>
        <w:rPr>
          <w:rFonts w:eastAsia="Calibri"/>
          <w:i/>
          <w:iCs/>
          <w:color w:val="595959"/>
        </w:rPr>
        <w:t>Xi'an Jiaotong-Liverpool University</w:t>
      </w: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tblGrid>
      <w:tr w:rsidR="00F121BF" w14:paraId="106DBA05" w14:textId="77777777">
        <w:tblPrEx>
          <w:tblCellMar>
            <w:top w:w="0" w:type="dxa"/>
            <w:bottom w:w="0" w:type="dxa"/>
          </w:tblCellMar>
        </w:tblPrEx>
        <w:trPr>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52321092" w14:textId="77777777" w:rsidR="00F121BF" w:rsidRDefault="00A32944">
            <w:pPr>
              <w:spacing w:before="40" w:after="40"/>
            </w:pPr>
            <w:r>
              <w:rPr>
                <w:rFonts w:eastAsia="Calibri"/>
                <w:b/>
                <w:bCs/>
              </w:rPr>
              <w:t>Student name</w:t>
            </w:r>
          </w:p>
        </w:tc>
        <w:tc>
          <w:tcPr>
            <w:tcW w:w="4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65B29E3F" w14:textId="0CF4798A" w:rsidR="00F121BF" w:rsidRDefault="005E79F0">
            <w:pPr>
              <w:spacing w:before="40" w:after="40"/>
            </w:pPr>
            <w:proofErr w:type="spellStart"/>
            <w:r>
              <w:t>Yutong.Sun</w:t>
            </w:r>
            <w:proofErr w:type="spellEnd"/>
          </w:p>
        </w:tc>
      </w:tr>
      <w:tr w:rsidR="00F121BF" w14:paraId="54A7D860" w14:textId="77777777">
        <w:tblPrEx>
          <w:tblCellMar>
            <w:top w:w="0" w:type="dxa"/>
            <w:bottom w:w="0" w:type="dxa"/>
          </w:tblCellMar>
        </w:tblPrEx>
        <w:trPr>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5C861134" w14:textId="77777777" w:rsidR="00F121BF" w:rsidRDefault="00A32944">
            <w:pPr>
              <w:spacing w:before="40" w:after="40"/>
            </w:pPr>
            <w:r>
              <w:rPr>
                <w:rFonts w:eastAsia="Calibri"/>
                <w:b/>
                <w:bCs/>
              </w:rPr>
              <w:t>Student ID</w:t>
            </w:r>
          </w:p>
        </w:tc>
        <w:tc>
          <w:tcPr>
            <w:tcW w:w="4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E4EEB5C" w14:textId="704A0D51" w:rsidR="00F121BF" w:rsidRDefault="005E79F0">
            <w:pPr>
              <w:spacing w:before="40" w:after="40"/>
            </w:pPr>
            <w:r>
              <w:t>2472987</w:t>
            </w:r>
          </w:p>
        </w:tc>
      </w:tr>
      <w:tr w:rsidR="00F121BF" w14:paraId="0CCF7D91" w14:textId="77777777">
        <w:tblPrEx>
          <w:tblCellMar>
            <w:top w:w="0" w:type="dxa"/>
            <w:bottom w:w="0" w:type="dxa"/>
          </w:tblCellMar>
        </w:tblPrEx>
        <w:trPr>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4624BE4E" w14:textId="77777777" w:rsidR="00F121BF" w:rsidRDefault="00A32944">
            <w:pPr>
              <w:spacing w:before="40" w:after="40"/>
            </w:pPr>
            <w:r>
              <w:rPr>
                <w:rFonts w:eastAsia="Calibri"/>
                <w:b/>
                <w:bCs/>
              </w:rPr>
              <w:t>Module</w:t>
            </w:r>
          </w:p>
        </w:tc>
        <w:tc>
          <w:tcPr>
            <w:tcW w:w="4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0AA5919A" w14:textId="77777777" w:rsidR="00F121BF" w:rsidRDefault="00A32944">
            <w:pPr>
              <w:spacing w:before="40" w:after="40"/>
            </w:pPr>
            <w:r>
              <w:rPr>
                <w:rFonts w:eastAsia="Calibri"/>
              </w:rPr>
              <w:t>ACC102 — 2025/2026 Semester 2</w:t>
            </w:r>
          </w:p>
        </w:tc>
      </w:tr>
      <w:tr w:rsidR="00F121BF" w14:paraId="40911A73" w14:textId="77777777">
        <w:tblPrEx>
          <w:tblCellMar>
            <w:top w:w="0" w:type="dxa"/>
            <w:bottom w:w="0" w:type="dxa"/>
          </w:tblCellMar>
        </w:tblPrEx>
        <w:trPr>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0F10D522" w14:textId="77777777" w:rsidR="00F121BF" w:rsidRDefault="00A32944">
            <w:pPr>
              <w:spacing w:before="40" w:after="40"/>
            </w:pPr>
            <w:r>
              <w:rPr>
                <w:rFonts w:eastAsia="Calibri"/>
                <w:b/>
                <w:bCs/>
              </w:rPr>
              <w:t>Track</w:t>
            </w:r>
          </w:p>
        </w:tc>
        <w:tc>
          <w:tcPr>
            <w:tcW w:w="4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3CD2856" w14:textId="77777777" w:rsidR="00F121BF" w:rsidRDefault="00A32944">
            <w:pPr>
              <w:spacing w:before="40" w:after="40"/>
            </w:pPr>
            <w:r>
              <w:rPr>
                <w:rFonts w:eastAsia="Calibri"/>
              </w:rPr>
              <w:t>Track 4 — Interactive Data Analysis Tool</w:t>
            </w:r>
          </w:p>
        </w:tc>
      </w:tr>
      <w:tr w:rsidR="00F121BF" w14:paraId="2EACB9A3" w14:textId="77777777">
        <w:tblPrEx>
          <w:tblCellMar>
            <w:top w:w="0" w:type="dxa"/>
            <w:bottom w:w="0" w:type="dxa"/>
          </w:tblCellMar>
        </w:tblPrEx>
        <w:trPr>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19B071E4" w14:textId="77777777" w:rsidR="00F121BF" w:rsidRDefault="00A32944">
            <w:pPr>
              <w:spacing w:before="40" w:after="40"/>
            </w:pPr>
            <w:r>
              <w:rPr>
                <w:rFonts w:eastAsia="Calibri"/>
                <w:b/>
                <w:bCs/>
              </w:rPr>
              <w:t>Submission date</w:t>
            </w:r>
          </w:p>
        </w:tc>
        <w:tc>
          <w:tcPr>
            <w:tcW w:w="4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10DEF94" w14:textId="3C1FC0B8" w:rsidR="00F121BF" w:rsidRDefault="005E79F0">
            <w:pPr>
              <w:spacing w:before="40" w:after="40"/>
            </w:pPr>
            <w:r>
              <w:t>April 2026</w:t>
            </w:r>
          </w:p>
        </w:tc>
      </w:tr>
      <w:tr w:rsidR="00F121BF" w14:paraId="10EDBF6A" w14:textId="77777777">
        <w:tblPrEx>
          <w:tblCellMar>
            <w:top w:w="0" w:type="dxa"/>
            <w:bottom w:w="0" w:type="dxa"/>
          </w:tblCellMar>
        </w:tblPrEx>
        <w:trPr>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335A76E3" w14:textId="77777777" w:rsidR="00F121BF" w:rsidRDefault="00A32944">
            <w:pPr>
              <w:spacing w:before="40" w:after="40"/>
            </w:pPr>
            <w:r>
              <w:rPr>
                <w:rFonts w:eastAsia="Calibri"/>
                <w:b/>
                <w:bCs/>
              </w:rPr>
              <w:t>Word count</w:t>
            </w:r>
          </w:p>
        </w:tc>
        <w:tc>
          <w:tcPr>
            <w:tcW w:w="4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08F9FAF" w14:textId="77777777" w:rsidR="00F121BF" w:rsidRDefault="00A32944">
            <w:pPr>
              <w:spacing w:before="40" w:after="40"/>
            </w:pPr>
            <w:r>
              <w:rPr>
                <w:rFonts w:eastAsia="Calibri"/>
              </w:rPr>
              <w:t>≈ 1,800 words (excl. tables and references)</w:t>
            </w:r>
          </w:p>
        </w:tc>
      </w:tr>
    </w:tbl>
    <w:p w14:paraId="0BD4F9E3" w14:textId="77777777" w:rsidR="00F121BF" w:rsidRDefault="00F121BF"/>
    <w:p w14:paraId="04832BAC" w14:textId="77777777" w:rsidR="00F121BF" w:rsidRDefault="00F121BF">
      <w:pPr>
        <w:pageBreakBefore/>
      </w:pPr>
    </w:p>
    <w:p w14:paraId="372F0D6C" w14:textId="77777777" w:rsidR="00F121BF" w:rsidRDefault="00A32944">
      <w:pPr>
        <w:pStyle w:val="1"/>
        <w:pBdr>
          <w:bottom w:val="single" w:sz="8" w:space="4" w:color="1F3864"/>
        </w:pBdr>
      </w:pPr>
      <w:r>
        <w:t>1. Introduction and Project Background</w:t>
      </w:r>
    </w:p>
    <w:p w14:paraId="2322BAF5" w14:textId="77777777" w:rsidR="00F121BF" w:rsidRDefault="00A32944">
      <w:pPr>
        <w:spacing w:before="80" w:after="80" w:line="320" w:lineRule="auto"/>
        <w:jc w:val="both"/>
      </w:pPr>
      <w:r>
        <w:rPr>
          <w:rFonts w:eastAsia="Calibri"/>
        </w:rPr>
        <w:t xml:space="preserve">This report reflects on the design, build, and analytical work behind the E-commerce Sales Dashboard, an interactive </w:t>
      </w:r>
      <w:proofErr w:type="spellStart"/>
      <w:r>
        <w:rPr>
          <w:rFonts w:eastAsia="Calibri"/>
        </w:rPr>
        <w:t>Streamlit</w:t>
      </w:r>
      <w:proofErr w:type="spellEnd"/>
      <w:r>
        <w:rPr>
          <w:rFonts w:eastAsia="Calibri"/>
        </w:rPr>
        <w:t xml:space="preserve"> application developed for Track 4 of the ACC102 mini assignment. The project translates a real, </w:t>
      </w:r>
      <w:proofErr w:type="spellStart"/>
      <w:r>
        <w:rPr>
          <w:rFonts w:eastAsia="Calibri"/>
        </w:rPr>
        <w:t>anonymised</w:t>
      </w:r>
      <w:proofErr w:type="spellEnd"/>
      <w:r>
        <w:rPr>
          <w:rFonts w:eastAsia="Calibri"/>
        </w:rPr>
        <w:t xml:space="preserve"> marketplace dataset — the Brazilian E-Commerce Public Dataset by </w:t>
      </w:r>
      <w:proofErr w:type="spellStart"/>
      <w:r>
        <w:rPr>
          <w:rFonts w:eastAsia="Calibri"/>
        </w:rPr>
        <w:t>Olist</w:t>
      </w:r>
      <w:proofErr w:type="spellEnd"/>
      <w:r>
        <w:rPr>
          <w:rFonts w:eastAsia="Calibri"/>
        </w:rPr>
        <w:t xml:space="preserve"> (Kaggle, 2018) — into a tool that an operations manager could open every Monday morning to make filter-driven decisions about category strategy, regional performance, and operational timing.</w:t>
      </w:r>
    </w:p>
    <w:p w14:paraId="066B10DD" w14:textId="77777777" w:rsidR="00F121BF" w:rsidRDefault="00A32944">
      <w:pPr>
        <w:spacing w:before="80" w:after="80" w:line="320" w:lineRule="auto"/>
        <w:jc w:val="both"/>
      </w:pPr>
      <w:r>
        <w:rPr>
          <w:rFonts w:eastAsia="Calibri"/>
        </w:rPr>
        <w:t xml:space="preserve">I chose Track 4 because the assessment criteria reward not just analytical depth but also product thinking. Building an interactive tool forced me to make every analytical choice usable by an audience that is not me, which I treat as the harder and more transferable skill. The deliverable is a four-page </w:t>
      </w:r>
      <w:proofErr w:type="spellStart"/>
      <w:r>
        <w:rPr>
          <w:rFonts w:eastAsia="Calibri"/>
        </w:rPr>
        <w:t>Streamlit</w:t>
      </w:r>
      <w:proofErr w:type="spellEnd"/>
      <w:r>
        <w:rPr>
          <w:rFonts w:eastAsia="Calibri"/>
        </w:rPr>
        <w:t xml:space="preserve"> dashboard backed by a documented </w:t>
      </w:r>
      <w:proofErr w:type="spellStart"/>
      <w:r>
        <w:rPr>
          <w:rFonts w:eastAsia="Calibri"/>
        </w:rPr>
        <w:t>Jupyter</w:t>
      </w:r>
      <w:proofErr w:type="spellEnd"/>
      <w:r>
        <w:rPr>
          <w:rFonts w:eastAsia="Calibri"/>
        </w:rPr>
        <w:t xml:space="preserve"> pipeline that turns nine raw CSV tables into one tidy analytical file.</w:t>
      </w:r>
    </w:p>
    <w:p w14:paraId="5472A92E" w14:textId="77777777" w:rsidR="00F121BF" w:rsidRDefault="00A32944">
      <w:pPr>
        <w:pStyle w:val="2"/>
      </w:pPr>
      <w:r>
        <w:t>Problem Statement</w:t>
      </w:r>
    </w:p>
    <w:p w14:paraId="4DD11AB5" w14:textId="77777777" w:rsidR="00F121BF" w:rsidRDefault="00A32944">
      <w:pPr>
        <w:spacing w:before="80" w:after="80" w:line="320" w:lineRule="auto"/>
        <w:jc w:val="both"/>
      </w:pPr>
      <w:r>
        <w:rPr>
          <w:rFonts w:eastAsia="Calibri"/>
        </w:rPr>
        <w:t xml:space="preserve">E-commerce operations managers need to answer the same questions repeatedly, but always for different slices of the business: which categories drive revenue, which regions are profitable after shipping, when customers </w:t>
      </w:r>
      <w:proofErr w:type="gramStart"/>
      <w:r>
        <w:rPr>
          <w:rFonts w:eastAsia="Calibri"/>
        </w:rPr>
        <w:t>actually buy</w:t>
      </w:r>
      <w:proofErr w:type="gramEnd"/>
      <w:r>
        <w:rPr>
          <w:rFonts w:eastAsia="Calibri"/>
        </w:rPr>
        <w:t>, and whether high-revenue categories carry hidden quality risks. A static report answers each question once. An interactive dashboard answers them every time the filter changes. That gap is the problem this project addresses.</w:t>
      </w:r>
    </w:p>
    <w:p w14:paraId="69FA7927" w14:textId="77777777" w:rsidR="00F121BF" w:rsidRDefault="00A32944">
      <w:pPr>
        <w:pStyle w:val="2"/>
      </w:pPr>
      <w:r>
        <w:t>Target User</w:t>
      </w:r>
    </w:p>
    <w:p w14:paraId="4906C07B" w14:textId="77777777" w:rsidR="00F121BF" w:rsidRDefault="00A32944">
      <w:pPr>
        <w:spacing w:before="80" w:after="80" w:line="320" w:lineRule="auto"/>
        <w:jc w:val="both"/>
      </w:pPr>
      <w:r>
        <w:rPr>
          <w:rFonts w:eastAsia="Calibri"/>
        </w:rPr>
        <w:t xml:space="preserve">The intended primary user is an operations manager or seller-success analyst at a marketplace platform. The secondary audience is the unit marker, who needs to verify both the analysis and the runnable workflow. I designed every page to serve both audiences: the manager gets KPIs and insights </w:t>
      </w:r>
      <w:proofErr w:type="gramStart"/>
      <w:r>
        <w:rPr>
          <w:rFonts w:eastAsia="Calibri"/>
        </w:rPr>
        <w:t>at a glance</w:t>
      </w:r>
      <w:proofErr w:type="gramEnd"/>
      <w:r>
        <w:rPr>
          <w:rFonts w:eastAsia="Calibri"/>
        </w:rPr>
        <w:t>; the marker gets clearly labelled controls, written interpretations beside every chart, and a one-command launch path.</w:t>
      </w:r>
    </w:p>
    <w:p w14:paraId="23131D6E" w14:textId="77777777" w:rsidR="00F121BF" w:rsidRDefault="00A32944">
      <w:pPr>
        <w:pStyle w:val="1"/>
        <w:pBdr>
          <w:bottom w:val="single" w:sz="8" w:space="4" w:color="1F3864"/>
        </w:pBdr>
      </w:pPr>
      <w:r>
        <w:t>2. Methodology and Workflow</w:t>
      </w:r>
    </w:p>
    <w:p w14:paraId="2F5CCA45" w14:textId="77777777" w:rsidR="00F121BF" w:rsidRDefault="00A32944">
      <w:pPr>
        <w:pStyle w:val="2"/>
      </w:pPr>
      <w:r>
        <w:t>Data Pipeline</w:t>
      </w:r>
    </w:p>
    <w:p w14:paraId="15C89395" w14:textId="77777777" w:rsidR="00F121BF" w:rsidRDefault="00A32944">
      <w:pPr>
        <w:spacing w:before="80" w:after="80" w:line="320" w:lineRule="auto"/>
        <w:jc w:val="both"/>
      </w:pPr>
      <w:r>
        <w:rPr>
          <w:rFonts w:eastAsia="Calibri"/>
        </w:rPr>
        <w:t>Data preparation is documented in the notebook 01_data_cleaning_and_</w:t>
      </w:r>
      <w:proofErr w:type="gramStart"/>
      <w:r>
        <w:rPr>
          <w:rFonts w:eastAsia="Calibri"/>
        </w:rPr>
        <w:t>analysis.ipynb</w:t>
      </w:r>
      <w:proofErr w:type="gramEnd"/>
      <w:r>
        <w:rPr>
          <w:rFonts w:eastAsia="Calibri"/>
        </w:rPr>
        <w:t xml:space="preserve">. The pipeline filters orders to the delivered status, translates Portuguese category names to English (a rubric requirement), aggregates duplicate review rows so a merge cannot inflate revenue, and joins five tables — items, orders, products, customers, reviews — into a single wide table. I used inner joins for the three essential links and a left join for reviews, because not every delivered order has a </w:t>
      </w:r>
      <w:proofErr w:type="gramStart"/>
      <w:r>
        <w:rPr>
          <w:rFonts w:eastAsia="Calibri"/>
        </w:rPr>
        <w:t>review</w:t>
      </w:r>
      <w:proofErr w:type="gramEnd"/>
      <w:r>
        <w:rPr>
          <w:rFonts w:eastAsia="Calibri"/>
        </w:rPr>
        <w:t xml:space="preserve"> and I would rather keep the order with a null score than discard the revenue.</w:t>
      </w:r>
    </w:p>
    <w:p w14:paraId="4AD27ECA" w14:textId="77777777" w:rsidR="00F121BF" w:rsidRDefault="00A32944">
      <w:pPr>
        <w:spacing w:before="80" w:after="80" w:line="320" w:lineRule="auto"/>
        <w:jc w:val="both"/>
      </w:pPr>
      <w:r>
        <w:rPr>
          <w:rFonts w:eastAsia="Calibri"/>
        </w:rPr>
        <w:t xml:space="preserve">The output is data/cleaned_sales.csv (~107,000 rows, ~20 MB), which sits comfortably under the rubric's 25 MB advisory and is committed to the </w:t>
      </w:r>
      <w:proofErr w:type="gramStart"/>
      <w:r>
        <w:rPr>
          <w:rFonts w:eastAsia="Calibri"/>
        </w:rPr>
        <w:t>repository</w:t>
      </w:r>
      <w:proofErr w:type="gramEnd"/>
      <w:r>
        <w:rPr>
          <w:rFonts w:eastAsia="Calibri"/>
        </w:rPr>
        <w:t xml:space="preserve"> so the marker does not need to re-run the pipeline to see the dashboard work. A separate sample_data.csv (1,000 rows) supports the dashboard's file-upload feature.</w:t>
      </w:r>
    </w:p>
    <w:p w14:paraId="0856E60D" w14:textId="77777777" w:rsidR="00F121BF" w:rsidRDefault="00A32944">
      <w:pPr>
        <w:pStyle w:val="2"/>
      </w:pPr>
      <w:r>
        <w:t>Application Architecture</w:t>
      </w:r>
    </w:p>
    <w:p w14:paraId="08C42BF6" w14:textId="77777777" w:rsidR="00F121BF" w:rsidRDefault="00A32944">
      <w:pPr>
        <w:spacing w:before="80" w:after="80" w:line="320" w:lineRule="auto"/>
        <w:jc w:val="both"/>
      </w:pPr>
      <w:r>
        <w:rPr>
          <w:rFonts w:eastAsia="Calibri"/>
        </w:rPr>
        <w:t xml:space="preserve">The </w:t>
      </w:r>
      <w:proofErr w:type="spellStart"/>
      <w:r>
        <w:rPr>
          <w:rFonts w:eastAsia="Calibri"/>
        </w:rPr>
        <w:t>Streamlit</w:t>
      </w:r>
      <w:proofErr w:type="spellEnd"/>
      <w:r>
        <w:rPr>
          <w:rFonts w:eastAsia="Calibri"/>
        </w:rPr>
        <w:t xml:space="preserve"> app is </w:t>
      </w:r>
      <w:proofErr w:type="spellStart"/>
      <w:r>
        <w:rPr>
          <w:rFonts w:eastAsia="Calibri"/>
        </w:rPr>
        <w:t>organised</w:t>
      </w:r>
      <w:proofErr w:type="spellEnd"/>
      <w:r>
        <w:rPr>
          <w:rFonts w:eastAsia="Calibri"/>
        </w:rPr>
        <w:t xml:space="preserve"> as a single app.py with clearly numbered sections: page configuration, paths, cached data loader, helper functions, four page-renderers, and a main entry point. Filters live in the sidebar and apply globally; each page is a pure function of the filtered </w:t>
      </w:r>
      <w:proofErr w:type="spellStart"/>
      <w:r>
        <w:rPr>
          <w:rFonts w:eastAsia="Calibri"/>
        </w:rPr>
        <w:t>DataFrame</w:t>
      </w:r>
      <w:proofErr w:type="spellEnd"/>
      <w:r>
        <w:rPr>
          <w:rFonts w:eastAsia="Calibri"/>
        </w:rPr>
        <w:t xml:space="preserve">. I used </w:t>
      </w:r>
      <w:proofErr w:type="spellStart"/>
      <w:r>
        <w:rPr>
          <w:rFonts w:eastAsia="Calibri"/>
        </w:rPr>
        <w:t>Streamlit's</w:t>
      </w:r>
      <w:proofErr w:type="spellEnd"/>
      <w:r>
        <w:rPr>
          <w:rFonts w:eastAsia="Calibri"/>
        </w:rPr>
        <w:t xml:space="preserve"> @</w:t>
      </w:r>
      <w:proofErr w:type="gramStart"/>
      <w:r>
        <w:rPr>
          <w:rFonts w:eastAsia="Calibri"/>
        </w:rPr>
        <w:t>st.cache</w:t>
      </w:r>
      <w:proofErr w:type="gramEnd"/>
      <w:r>
        <w:rPr>
          <w:rFonts w:eastAsia="Calibri"/>
        </w:rPr>
        <w:t>_data decorator so re-filtering does not trigger CSV re-reads, which keeps interaction snappy.</w:t>
      </w:r>
    </w:p>
    <w:p w14:paraId="68D7286C" w14:textId="77777777" w:rsidR="00F121BF" w:rsidRDefault="00A32944">
      <w:pPr>
        <w:spacing w:before="80" w:after="80" w:line="320" w:lineRule="auto"/>
        <w:jc w:val="both"/>
      </w:pPr>
      <w:proofErr w:type="spellStart"/>
      <w:r>
        <w:rPr>
          <w:rFonts w:eastAsia="Calibri"/>
        </w:rPr>
        <w:t>Visualisations</w:t>
      </w:r>
      <w:proofErr w:type="spellEnd"/>
      <w:r>
        <w:rPr>
          <w:rFonts w:eastAsia="Calibri"/>
        </w:rPr>
        <w:t xml:space="preserve"> use </w:t>
      </w:r>
      <w:proofErr w:type="spellStart"/>
      <w:r>
        <w:rPr>
          <w:rFonts w:eastAsia="Calibri"/>
        </w:rPr>
        <w:t>Plotly</w:t>
      </w:r>
      <w:proofErr w:type="spellEnd"/>
      <w:r>
        <w:rPr>
          <w:rFonts w:eastAsia="Calibri"/>
        </w:rPr>
        <w:t xml:space="preserve"> because all dashboard charts must be hover-interactive — the freight-burden ranking, for instance, only earns its space if the user can hover to see the exact percentage. Tables use </w:t>
      </w:r>
      <w:proofErr w:type="spellStart"/>
      <w:r>
        <w:rPr>
          <w:rFonts w:eastAsia="Calibri"/>
        </w:rPr>
        <w:t>Streamlit's</w:t>
      </w:r>
      <w:proofErr w:type="spellEnd"/>
      <w:r>
        <w:rPr>
          <w:rFonts w:eastAsia="Calibri"/>
        </w:rPr>
        <w:t xml:space="preserve"> native </w:t>
      </w:r>
      <w:proofErr w:type="spellStart"/>
      <w:r>
        <w:rPr>
          <w:rFonts w:eastAsia="Calibri"/>
        </w:rPr>
        <w:t>dataframe</w:t>
      </w:r>
      <w:proofErr w:type="spellEnd"/>
      <w:r>
        <w:rPr>
          <w:rFonts w:eastAsia="Calibri"/>
        </w:rPr>
        <w:t xml:space="preserve"> component for sortable columns. The Brazil choropleth uses an official IBGE-derived </w:t>
      </w:r>
      <w:proofErr w:type="spellStart"/>
      <w:r>
        <w:rPr>
          <w:rFonts w:eastAsia="Calibri"/>
        </w:rPr>
        <w:t>GeoJSON</w:t>
      </w:r>
      <w:proofErr w:type="spellEnd"/>
      <w:r>
        <w:rPr>
          <w:rFonts w:eastAsia="Calibri"/>
        </w:rPr>
        <w:t>, with a graceful bar-chart fallback if the network request fails — a defensive choice that proved useful when testing offline.</w:t>
      </w:r>
    </w:p>
    <w:p w14:paraId="2136AFF2" w14:textId="77777777" w:rsidR="00F121BF" w:rsidRDefault="00A32944">
      <w:pPr>
        <w:pStyle w:val="2"/>
      </w:pPr>
      <w:r>
        <w:t>Reproducibility Choices</w:t>
      </w:r>
    </w:p>
    <w:p w14:paraId="4A08A24B" w14:textId="77777777" w:rsidR="00F121BF" w:rsidRDefault="00A32944">
      <w:pPr>
        <w:pStyle w:val="a4"/>
        <w:numPr>
          <w:ilvl w:val="0"/>
          <w:numId w:val="2"/>
        </w:numPr>
        <w:spacing w:before="60" w:after="60" w:line="300" w:lineRule="auto"/>
        <w:jc w:val="both"/>
      </w:pPr>
      <w:r>
        <w:rPr>
          <w:rFonts w:eastAsia="Calibri"/>
          <w:b/>
          <w:bCs/>
        </w:rPr>
        <w:t>Relative paths only</w:t>
      </w:r>
      <w:r>
        <w:rPr>
          <w:rFonts w:eastAsia="Calibri"/>
        </w:rPr>
        <w:t xml:space="preserve"> — every file reference uses Path(__file__</w:t>
      </w:r>
      <w:proofErr w:type="gramStart"/>
      <w:r>
        <w:rPr>
          <w:rFonts w:eastAsia="Calibri"/>
        </w:rPr>
        <w:t>).parent</w:t>
      </w:r>
      <w:proofErr w:type="gramEnd"/>
      <w:r>
        <w:rPr>
          <w:rFonts w:eastAsia="Calibri"/>
        </w:rPr>
        <w:t xml:space="preserve"> so the project runs unchanged after cloning, which the rubric explicitly requires.</w:t>
      </w:r>
    </w:p>
    <w:p w14:paraId="4846E6BF" w14:textId="77777777" w:rsidR="00F121BF" w:rsidRDefault="00A32944">
      <w:pPr>
        <w:pStyle w:val="a4"/>
        <w:numPr>
          <w:ilvl w:val="0"/>
          <w:numId w:val="2"/>
        </w:numPr>
        <w:spacing w:before="60" w:after="60" w:line="300" w:lineRule="auto"/>
        <w:jc w:val="both"/>
      </w:pPr>
      <w:r>
        <w:rPr>
          <w:rFonts w:eastAsia="Calibri"/>
          <w:b/>
          <w:bCs/>
        </w:rPr>
        <w:t>Pinned dependencies</w:t>
      </w:r>
      <w:r>
        <w:rPr>
          <w:rFonts w:eastAsia="Calibri"/>
        </w:rPr>
        <w:t xml:space="preserve"> — requirements.txt lists </w:t>
      </w:r>
      <w:proofErr w:type="spellStart"/>
      <w:r>
        <w:rPr>
          <w:rFonts w:eastAsia="Calibri"/>
        </w:rPr>
        <w:t>streamlit</w:t>
      </w:r>
      <w:proofErr w:type="spellEnd"/>
      <w:r>
        <w:rPr>
          <w:rFonts w:eastAsia="Calibri"/>
        </w:rPr>
        <w:t xml:space="preserve">, pandas, </w:t>
      </w:r>
      <w:proofErr w:type="spellStart"/>
      <w:r>
        <w:rPr>
          <w:rFonts w:eastAsia="Calibri"/>
        </w:rPr>
        <w:t>numpy</w:t>
      </w:r>
      <w:proofErr w:type="spellEnd"/>
      <w:r>
        <w:rPr>
          <w:rFonts w:eastAsia="Calibri"/>
        </w:rPr>
        <w:t xml:space="preserve"> and </w:t>
      </w:r>
      <w:proofErr w:type="spellStart"/>
      <w:r>
        <w:rPr>
          <w:rFonts w:eastAsia="Calibri"/>
        </w:rPr>
        <w:t>plotly</w:t>
      </w:r>
      <w:proofErr w:type="spellEnd"/>
      <w:r>
        <w:rPr>
          <w:rFonts w:eastAsia="Calibri"/>
        </w:rPr>
        <w:t xml:space="preserve"> with minimum versions, avoiding the trap where a marker installs an incompatible release.</w:t>
      </w:r>
    </w:p>
    <w:p w14:paraId="630EFC82" w14:textId="77777777" w:rsidR="00F121BF" w:rsidRDefault="00A32944">
      <w:pPr>
        <w:pStyle w:val="a4"/>
        <w:numPr>
          <w:ilvl w:val="0"/>
          <w:numId w:val="2"/>
        </w:numPr>
        <w:spacing w:before="60" w:after="60" w:line="300" w:lineRule="auto"/>
        <w:jc w:val="both"/>
      </w:pPr>
      <w:r>
        <w:rPr>
          <w:rFonts w:eastAsia="Calibri"/>
          <w:b/>
          <w:bCs/>
        </w:rPr>
        <w:t>Single source of truth</w:t>
      </w:r>
      <w:r>
        <w:rPr>
          <w:rFonts w:eastAsia="Calibri"/>
        </w:rPr>
        <w:t xml:space="preserve"> — the dashboard reads only one cleaned CSV. All transformation logic is in the notebook, so any edit to the data definition has exactly one place to live.</w:t>
      </w:r>
    </w:p>
    <w:p w14:paraId="50FA003C" w14:textId="77777777" w:rsidR="00F121BF" w:rsidRDefault="00A32944">
      <w:pPr>
        <w:pStyle w:val="a4"/>
        <w:numPr>
          <w:ilvl w:val="0"/>
          <w:numId w:val="2"/>
        </w:numPr>
        <w:spacing w:before="60" w:after="60" w:line="300" w:lineRule="auto"/>
        <w:jc w:val="both"/>
      </w:pPr>
      <w:r>
        <w:rPr>
          <w:rFonts w:eastAsia="Calibri"/>
          <w:b/>
          <w:bCs/>
        </w:rPr>
        <w:t>Defensive UI</w:t>
      </w:r>
      <w:r>
        <w:rPr>
          <w:rFonts w:eastAsia="Calibri"/>
        </w:rPr>
        <w:t xml:space="preserve"> — every page handles empty filter results with a friendly warning, and the data-explorer page validates uploaded files before rendering anything.</w:t>
      </w:r>
    </w:p>
    <w:p w14:paraId="21E7E50D" w14:textId="77777777" w:rsidR="00F121BF" w:rsidRDefault="00A32944">
      <w:pPr>
        <w:pStyle w:val="1"/>
        <w:pBdr>
          <w:bottom w:val="single" w:sz="8" w:space="4" w:color="1F3864"/>
        </w:pBdr>
      </w:pPr>
      <w:r>
        <w:t>3. Key Findings and Interpretation</w:t>
      </w:r>
    </w:p>
    <w:p w14:paraId="584AE2BC" w14:textId="77777777" w:rsidR="00F121BF" w:rsidRDefault="00A32944">
      <w:pPr>
        <w:spacing w:before="80" w:after="80" w:line="320" w:lineRule="auto"/>
        <w:jc w:val="both"/>
      </w:pPr>
      <w:r>
        <w:rPr>
          <w:rFonts w:eastAsia="Calibri"/>
        </w:rPr>
        <w:t>The dashboard is designed to surface findings; this section records the most important ones I confirmed during analysis. None of these are individually surprising, but they are useful as a benchmark for what the dashboard reliably reproduces under different filter combinations.</w:t>
      </w:r>
    </w:p>
    <w:p w14:paraId="4BE93D48" w14:textId="77777777" w:rsidR="00F121BF" w:rsidRDefault="00A32944">
      <w:pPr>
        <w:pStyle w:val="2"/>
      </w:pPr>
      <w:r>
        <w:t>Finding 1 — Black Friday and structural growth</w:t>
      </w:r>
    </w:p>
    <w:p w14:paraId="4DE0DE14" w14:textId="77777777" w:rsidR="00F121BF" w:rsidRDefault="00A32944">
      <w:pPr>
        <w:spacing w:before="80" w:after="80" w:line="320" w:lineRule="auto"/>
        <w:jc w:val="both"/>
      </w:pPr>
      <w:r>
        <w:rPr>
          <w:rFonts w:eastAsia="Calibri"/>
        </w:rPr>
        <w:t>Monthly revenue grew steadily through 2017–2018, with a sharp Black Friday 2017 spike (peak of approximately R$ 1.14M in November). 2018 monthly revenue ran consistently above 2017 levels. This rules out the alternative explanation that the 2017 spike was a one-off anomaly: the platform was in genuine growth mode.</w:t>
      </w:r>
    </w:p>
    <w:p w14:paraId="46B486D2" w14:textId="77777777" w:rsidR="00F121BF" w:rsidRDefault="00A32944">
      <w:pPr>
        <w:pStyle w:val="2"/>
      </w:pPr>
      <w:r>
        <w:t>Finding 2 — Category concentration is textbook Pareto</w:t>
      </w:r>
    </w:p>
    <w:p w14:paraId="16A5132A" w14:textId="77777777" w:rsidR="00F121BF" w:rsidRDefault="00A32944">
      <w:pPr>
        <w:spacing w:before="80" w:after="80" w:line="320" w:lineRule="auto"/>
        <w:jc w:val="both"/>
      </w:pPr>
      <w:r>
        <w:rPr>
          <w:rFonts w:eastAsia="Calibri"/>
        </w:rPr>
        <w:t>A small fraction of categories produces roughly 80% of revenue. The Pareto chart in the Category Analysis page makes this concentration explicit by overlaying a cumulative-percentage line on the revenue bars. The implication for an operations team is direct: inventory, supplier relationships, and promotional budgets should be weighted toward the leading tier rather than spread thinly.</w:t>
      </w:r>
    </w:p>
    <w:p w14:paraId="55DCE2CF" w14:textId="77777777" w:rsidR="00F121BF" w:rsidRDefault="00A32944">
      <w:pPr>
        <w:pStyle w:val="2"/>
      </w:pPr>
      <w:r>
        <w:t>Finding 3 — Geographic dominance of the south-east</w:t>
      </w:r>
    </w:p>
    <w:p w14:paraId="15F61404" w14:textId="77777777" w:rsidR="00F121BF" w:rsidRDefault="00A32944">
      <w:pPr>
        <w:spacing w:before="80" w:after="80" w:line="320" w:lineRule="auto"/>
        <w:jc w:val="both"/>
      </w:pPr>
      <w:r>
        <w:rPr>
          <w:rFonts w:eastAsia="Calibri"/>
        </w:rPr>
        <w:t xml:space="preserve">São Paulo (SP), Rio de Janeiro (RJ), and Minas Gerais (MG) together generate the bulk of revenue, mirroring Brazil's broader economic geography. By contrast, several northern states carry shipping costs exceeding 30% of order value, making them prime candidates for free-shipping promotions rather than price competition. The freight-burden chart on the </w:t>
      </w:r>
      <w:proofErr w:type="gramStart"/>
      <w:r>
        <w:rPr>
          <w:rFonts w:eastAsia="Calibri"/>
        </w:rPr>
        <w:t>Regional</w:t>
      </w:r>
      <w:proofErr w:type="gramEnd"/>
      <w:r>
        <w:rPr>
          <w:rFonts w:eastAsia="Calibri"/>
        </w:rPr>
        <w:t xml:space="preserve"> page makes this trade-off visible </w:t>
      </w:r>
      <w:proofErr w:type="gramStart"/>
      <w:r>
        <w:rPr>
          <w:rFonts w:eastAsia="Calibri"/>
        </w:rPr>
        <w:t>at a glance</w:t>
      </w:r>
      <w:proofErr w:type="gramEnd"/>
      <w:r>
        <w:rPr>
          <w:rFonts w:eastAsia="Calibri"/>
        </w:rPr>
        <w:t>.</w:t>
      </w:r>
    </w:p>
    <w:p w14:paraId="1C6A97C0" w14:textId="77777777" w:rsidR="00F121BF" w:rsidRDefault="00A32944">
      <w:pPr>
        <w:pStyle w:val="2"/>
      </w:pPr>
      <w:r>
        <w:t>Finding 4 — Quality red flags</w:t>
      </w:r>
    </w:p>
    <w:p w14:paraId="404C605D" w14:textId="77777777" w:rsidR="00F121BF" w:rsidRDefault="00A32944">
      <w:pPr>
        <w:spacing w:before="80" w:after="80" w:line="320" w:lineRule="auto"/>
        <w:jc w:val="both"/>
      </w:pPr>
      <w:r>
        <w:rPr>
          <w:rFonts w:eastAsia="Calibri"/>
        </w:rPr>
        <w:t>A handful of high-revenue categories sit below a 3.8-star rating threshold. The quality-vs-revenue scatter plot annotates these directly. They are not necessarily problems — small-sample rating noise is real — but they are reasonable hypotheses for a product-quality investigation, since dissatisfaction in a high-revenue category threatens retention disproportionately.</w:t>
      </w:r>
    </w:p>
    <w:p w14:paraId="4D19B1CA" w14:textId="77777777" w:rsidR="00F121BF" w:rsidRDefault="00A32944">
      <w:pPr>
        <w:pStyle w:val="2"/>
      </w:pPr>
      <w:r>
        <w:t>Finding 5 — Operational timing</w:t>
      </w:r>
    </w:p>
    <w:p w14:paraId="6DC682B3" w14:textId="77777777" w:rsidR="00F121BF" w:rsidRDefault="00A32944">
      <w:pPr>
        <w:spacing w:before="80" w:after="80" w:line="320" w:lineRule="auto"/>
        <w:jc w:val="both"/>
      </w:pPr>
      <w:r>
        <w:rPr>
          <w:rFonts w:eastAsia="Calibri"/>
        </w:rPr>
        <w:t>Orders peak on weekday afternoons and evenings, particularly Monday and Tuesday. Weekends are noticeably quieter. This contradicts the casual assumption that e-commerce traffic mirrors leisure time, and it has direct staffing implications for customer service and fulfilment teams.</w:t>
      </w:r>
    </w:p>
    <w:p w14:paraId="7390F194" w14:textId="77777777" w:rsidR="00F121BF" w:rsidRDefault="00A32944">
      <w:pPr>
        <w:pStyle w:val="1"/>
        <w:pBdr>
          <w:bottom w:val="single" w:sz="8" w:space="4" w:color="1F3864"/>
        </w:pBdr>
      </w:pPr>
      <w:r>
        <w:t>4. Limitations of the Analysis</w:t>
      </w:r>
    </w:p>
    <w:p w14:paraId="1A90B1D4" w14:textId="77777777" w:rsidR="00F121BF" w:rsidRDefault="00A32944">
      <w:pPr>
        <w:spacing w:before="80" w:after="80" w:line="320" w:lineRule="auto"/>
        <w:jc w:val="both"/>
      </w:pPr>
      <w:r>
        <w:rPr>
          <w:rFonts w:eastAsia="Calibri"/>
        </w:rPr>
        <w:t xml:space="preserve">Five limitations deserve explicit acknowledgement. They are not flaws to be </w:t>
      </w:r>
      <w:proofErr w:type="spellStart"/>
      <w:r>
        <w:rPr>
          <w:rFonts w:eastAsia="Calibri"/>
        </w:rPr>
        <w:t>apologised</w:t>
      </w:r>
      <w:proofErr w:type="spellEnd"/>
      <w:r>
        <w:rPr>
          <w:rFonts w:eastAsia="Calibri"/>
        </w:rPr>
        <w:t xml:space="preserve"> for but boundary conditions on the conclusions a viewer should draw.</w:t>
      </w:r>
    </w:p>
    <w:p w14:paraId="3C02DD9E" w14:textId="77777777" w:rsidR="00F121BF" w:rsidRDefault="00A32944">
      <w:pPr>
        <w:pStyle w:val="a4"/>
        <w:numPr>
          <w:ilvl w:val="0"/>
          <w:numId w:val="2"/>
        </w:numPr>
        <w:spacing w:before="60" w:after="60" w:line="300" w:lineRule="auto"/>
        <w:jc w:val="both"/>
      </w:pPr>
      <w:r>
        <w:rPr>
          <w:rFonts w:eastAsia="Calibri"/>
          <w:b/>
          <w:bCs/>
        </w:rPr>
        <w:t xml:space="preserve">Historical and geographically bounded. </w:t>
      </w:r>
      <w:r>
        <w:rPr>
          <w:rFonts w:eastAsia="Calibri"/>
        </w:rPr>
        <w:t>The dataset covers 2016–2018 in Brazil. Findings are illustrative of a real marketplace under the conditions of that time and place; they are not a forecast for 2026 or another market.</w:t>
      </w:r>
    </w:p>
    <w:p w14:paraId="54FCDACD" w14:textId="77777777" w:rsidR="00F121BF" w:rsidRDefault="00A32944">
      <w:pPr>
        <w:pStyle w:val="a4"/>
        <w:numPr>
          <w:ilvl w:val="0"/>
          <w:numId w:val="2"/>
        </w:numPr>
        <w:spacing w:before="60" w:after="60" w:line="300" w:lineRule="auto"/>
        <w:jc w:val="both"/>
      </w:pPr>
      <w:r>
        <w:rPr>
          <w:rFonts w:eastAsia="Calibri"/>
          <w:b/>
          <w:bCs/>
        </w:rPr>
        <w:t xml:space="preserve">Revenue is not profit. </w:t>
      </w:r>
      <w:r>
        <w:rPr>
          <w:rFonts w:eastAsia="Calibri"/>
        </w:rPr>
        <w:t xml:space="preserve">The </w:t>
      </w:r>
      <w:proofErr w:type="spellStart"/>
      <w:r>
        <w:rPr>
          <w:rFonts w:eastAsia="Calibri"/>
        </w:rPr>
        <w:t>total_value</w:t>
      </w:r>
      <w:proofErr w:type="spellEnd"/>
      <w:r>
        <w:rPr>
          <w:rFonts w:eastAsia="Calibri"/>
        </w:rPr>
        <w:t xml:space="preserve"> field used throughout is price plus freight — what the customer pays — not gross margin. A real profitability analysis would need cost data </w:t>
      </w:r>
      <w:proofErr w:type="spellStart"/>
      <w:r>
        <w:rPr>
          <w:rFonts w:eastAsia="Calibri"/>
        </w:rPr>
        <w:t>Olist</w:t>
      </w:r>
      <w:proofErr w:type="spellEnd"/>
      <w:r>
        <w:rPr>
          <w:rFonts w:eastAsia="Calibri"/>
        </w:rPr>
        <w:t xml:space="preserve"> does not publish.</w:t>
      </w:r>
    </w:p>
    <w:p w14:paraId="0362D39A" w14:textId="77777777" w:rsidR="00F121BF" w:rsidRDefault="00A32944">
      <w:pPr>
        <w:pStyle w:val="a4"/>
        <w:numPr>
          <w:ilvl w:val="0"/>
          <w:numId w:val="2"/>
        </w:numPr>
        <w:spacing w:before="60" w:after="60" w:line="300" w:lineRule="auto"/>
        <w:jc w:val="both"/>
      </w:pPr>
      <w:r>
        <w:rPr>
          <w:rFonts w:eastAsia="Calibri"/>
          <w:b/>
          <w:bCs/>
        </w:rPr>
        <w:t xml:space="preserve">Reviews are self-selected. </w:t>
      </w:r>
      <w:r>
        <w:rPr>
          <w:rFonts w:eastAsia="Calibri"/>
        </w:rPr>
        <w:t xml:space="preserve">Customers who leave reviews are not necessarily representative of all customers, so category-level rating averages are a noisy signal. The 'quality </w:t>
      </w:r>
      <w:proofErr w:type="gramStart"/>
      <w:r>
        <w:rPr>
          <w:rFonts w:eastAsia="Calibri"/>
        </w:rPr>
        <w:t>red-flag</w:t>
      </w:r>
      <w:proofErr w:type="gramEnd"/>
      <w:r>
        <w:rPr>
          <w:rFonts w:eastAsia="Calibri"/>
        </w:rPr>
        <w:t>' list should be treated as hypotheses, not conclusions.</w:t>
      </w:r>
    </w:p>
    <w:p w14:paraId="015C685B" w14:textId="77777777" w:rsidR="00F121BF" w:rsidRDefault="00A32944">
      <w:pPr>
        <w:pStyle w:val="a4"/>
        <w:numPr>
          <w:ilvl w:val="0"/>
          <w:numId w:val="2"/>
        </w:numPr>
        <w:spacing w:before="60" w:after="60" w:line="300" w:lineRule="auto"/>
        <w:jc w:val="both"/>
      </w:pPr>
      <w:r>
        <w:rPr>
          <w:rFonts w:eastAsia="Calibri"/>
          <w:b/>
          <w:bCs/>
        </w:rPr>
        <w:t xml:space="preserve">Category granularity is uneven. </w:t>
      </w:r>
      <w:proofErr w:type="spellStart"/>
      <w:r>
        <w:rPr>
          <w:rFonts w:eastAsia="Calibri"/>
        </w:rPr>
        <w:t>Olist's</w:t>
      </w:r>
      <w:proofErr w:type="spellEnd"/>
      <w:r>
        <w:rPr>
          <w:rFonts w:eastAsia="Calibri"/>
        </w:rPr>
        <w:t xml:space="preserve"> roughly 70 categories include narrow ones (e.g. </w:t>
      </w:r>
      <w:proofErr w:type="spellStart"/>
      <w:r>
        <w:rPr>
          <w:rFonts w:eastAsia="Calibri"/>
        </w:rPr>
        <w:t>bed_bath_table</w:t>
      </w:r>
      <w:proofErr w:type="spellEnd"/>
      <w:r>
        <w:rPr>
          <w:rFonts w:eastAsia="Calibri"/>
        </w:rPr>
        <w:t>) and catch-</w:t>
      </w:r>
      <w:proofErr w:type="spellStart"/>
      <w:r>
        <w:rPr>
          <w:rFonts w:eastAsia="Calibri"/>
        </w:rPr>
        <w:t>alls</w:t>
      </w:r>
      <w:proofErr w:type="spellEnd"/>
      <w:r>
        <w:rPr>
          <w:rFonts w:eastAsia="Calibri"/>
        </w:rPr>
        <w:t xml:space="preserve"> (e.g. housewares), which can make direct comparisons unfair. Aggregating to a parent-category level would help but was outside this assignment's scope.</w:t>
      </w:r>
    </w:p>
    <w:p w14:paraId="511C2162" w14:textId="77777777" w:rsidR="00F121BF" w:rsidRDefault="00A32944">
      <w:pPr>
        <w:pStyle w:val="a4"/>
        <w:numPr>
          <w:ilvl w:val="0"/>
          <w:numId w:val="2"/>
        </w:numPr>
        <w:spacing w:before="60" w:after="60" w:line="300" w:lineRule="auto"/>
        <w:jc w:val="both"/>
      </w:pPr>
      <w:r>
        <w:rPr>
          <w:rFonts w:eastAsia="Calibri"/>
          <w:b/>
          <w:bCs/>
        </w:rPr>
        <w:t xml:space="preserve">No inflation adjustment. </w:t>
      </w:r>
      <w:r>
        <w:rPr>
          <w:rFonts w:eastAsia="Calibri"/>
        </w:rPr>
        <w:t>Values are raw Brazilian reais. Multi-year revenue growth should be read with that caveat.</w:t>
      </w:r>
    </w:p>
    <w:p w14:paraId="3F397A87" w14:textId="77777777" w:rsidR="00F121BF" w:rsidRDefault="00A32944">
      <w:pPr>
        <w:pStyle w:val="1"/>
        <w:pBdr>
          <w:bottom w:val="single" w:sz="8" w:space="4" w:color="1F3864"/>
        </w:pBdr>
      </w:pPr>
      <w:r>
        <w:t>5. Difficulties Encountered and How I Resolved Them</w:t>
      </w:r>
    </w:p>
    <w:p w14:paraId="1B1E6EC1" w14:textId="77777777" w:rsidR="00F121BF" w:rsidRDefault="00A32944">
      <w:pPr>
        <w:pStyle w:val="2"/>
      </w:pPr>
      <w:r>
        <w:t>Difficulty 1 — Path resolution between notebook and app</w:t>
      </w:r>
    </w:p>
    <w:p w14:paraId="798B9031" w14:textId="77777777" w:rsidR="00F121BF" w:rsidRDefault="00A32944">
      <w:pPr>
        <w:spacing w:before="80" w:after="80" w:line="320" w:lineRule="auto"/>
        <w:jc w:val="both"/>
      </w:pPr>
      <w:r>
        <w:rPr>
          <w:rFonts w:eastAsia="Calibri"/>
        </w:rPr>
        <w:t xml:space="preserve">When I first tried to launch the dashboard, it could not find the cleaned CSV because </w:t>
      </w:r>
      <w:proofErr w:type="spellStart"/>
      <w:proofErr w:type="gramStart"/>
      <w:r>
        <w:rPr>
          <w:rFonts w:eastAsia="Calibri"/>
        </w:rPr>
        <w:t>Path.cwd</w:t>
      </w:r>
      <w:proofErr w:type="spellEnd"/>
      <w:r>
        <w:rPr>
          <w:rFonts w:eastAsia="Calibri"/>
        </w:rPr>
        <w:t>(</w:t>
      </w:r>
      <w:proofErr w:type="gramEnd"/>
      <w:r>
        <w:rPr>
          <w:rFonts w:eastAsia="Calibri"/>
        </w:rPr>
        <w:t xml:space="preserve">) resolves differently depending on whether code is run from a </w:t>
      </w:r>
      <w:proofErr w:type="spellStart"/>
      <w:r>
        <w:rPr>
          <w:rFonts w:eastAsia="Calibri"/>
        </w:rPr>
        <w:t>Jupyter</w:t>
      </w:r>
      <w:proofErr w:type="spellEnd"/>
      <w:r>
        <w:rPr>
          <w:rFonts w:eastAsia="Calibri"/>
        </w:rPr>
        <w:t xml:space="preserve"> cell, a terminal, or a </w:t>
      </w:r>
      <w:proofErr w:type="spellStart"/>
      <w:r>
        <w:rPr>
          <w:rFonts w:eastAsia="Calibri"/>
        </w:rPr>
        <w:t>Streamlit</w:t>
      </w:r>
      <w:proofErr w:type="spellEnd"/>
      <w:r>
        <w:rPr>
          <w:rFonts w:eastAsia="Calibri"/>
        </w:rPr>
        <w:t xml:space="preserve"> process. I fixed this by anchoring all paths in app.py to Path(__file__</w:t>
      </w:r>
      <w:proofErr w:type="gramStart"/>
      <w:r>
        <w:rPr>
          <w:rFonts w:eastAsia="Calibri"/>
        </w:rPr>
        <w:t>).parent</w:t>
      </w:r>
      <w:proofErr w:type="gramEnd"/>
      <w:r>
        <w:rPr>
          <w:rFonts w:eastAsia="Calibri"/>
        </w:rPr>
        <w:t>, which always resolves to the directory containing app.py regardless of how it is launched. In the notebook I separately documented that the working directory must be the project root.</w:t>
      </w:r>
    </w:p>
    <w:p w14:paraId="7A279CD6" w14:textId="77777777" w:rsidR="00F121BF" w:rsidRDefault="00A32944">
      <w:pPr>
        <w:pStyle w:val="2"/>
      </w:pPr>
      <w:r>
        <w:t xml:space="preserve">Difficulty 2 — </w:t>
      </w:r>
      <w:proofErr w:type="spellStart"/>
      <w:r>
        <w:t>Streamlit</w:t>
      </w:r>
      <w:proofErr w:type="spellEnd"/>
      <w:r>
        <w:t xml:space="preserve"> caching and stale filters</w:t>
      </w:r>
    </w:p>
    <w:p w14:paraId="5CB8B34E" w14:textId="77777777" w:rsidR="00F121BF" w:rsidRDefault="00A32944">
      <w:pPr>
        <w:spacing w:before="80" w:after="80" w:line="320" w:lineRule="auto"/>
        <w:jc w:val="both"/>
      </w:pPr>
      <w:r>
        <w:rPr>
          <w:rFonts w:eastAsia="Calibri"/>
        </w:rPr>
        <w:t xml:space="preserve">Early prototypes recomputed every aggregation on every filter change, which made the app feel sluggish on a 100,000-row dataset. After reading the </w:t>
      </w:r>
      <w:proofErr w:type="spellStart"/>
      <w:r>
        <w:rPr>
          <w:rFonts w:eastAsia="Calibri"/>
        </w:rPr>
        <w:t>Streamlit</w:t>
      </w:r>
      <w:proofErr w:type="spellEnd"/>
      <w:r>
        <w:rPr>
          <w:rFonts w:eastAsia="Calibri"/>
        </w:rPr>
        <w:t xml:space="preserve"> caching documentation I added @</w:t>
      </w:r>
      <w:proofErr w:type="gramStart"/>
      <w:r>
        <w:rPr>
          <w:rFonts w:eastAsia="Calibri"/>
        </w:rPr>
        <w:t>st.cache</w:t>
      </w:r>
      <w:proofErr w:type="gramEnd"/>
      <w:r>
        <w:rPr>
          <w:rFonts w:eastAsia="Calibri"/>
        </w:rPr>
        <w:t xml:space="preserve">_data on the loader and refactored each page to operate on an already-filtered </w:t>
      </w:r>
      <w:proofErr w:type="spellStart"/>
      <w:r>
        <w:rPr>
          <w:rFonts w:eastAsia="Calibri"/>
        </w:rPr>
        <w:t>DataFrame</w:t>
      </w:r>
      <w:proofErr w:type="spellEnd"/>
      <w:r>
        <w:rPr>
          <w:rFonts w:eastAsia="Calibri"/>
        </w:rPr>
        <w:t xml:space="preserve"> passed in as a parameter. Latency dropped to interactive levels.</w:t>
      </w:r>
    </w:p>
    <w:p w14:paraId="34C39107" w14:textId="77777777" w:rsidR="00F121BF" w:rsidRDefault="00A32944">
      <w:pPr>
        <w:pStyle w:val="2"/>
      </w:pPr>
      <w:r>
        <w:t>Difficulty 3 — Choropleth keying</w:t>
      </w:r>
    </w:p>
    <w:p w14:paraId="4D9F7D47" w14:textId="77777777" w:rsidR="00F121BF" w:rsidRDefault="00A32944">
      <w:pPr>
        <w:spacing w:before="80" w:after="80" w:line="320" w:lineRule="auto"/>
        <w:jc w:val="both"/>
      </w:pPr>
      <w:r>
        <w:rPr>
          <w:rFonts w:eastAsia="Calibri"/>
        </w:rPr>
        <w:t xml:space="preserve">The first version of the Brazil map showed the country outline but no fills. The cause was a key mismatch: my data had two-letter state codes (SP, RJ) but the </w:t>
      </w:r>
      <w:proofErr w:type="spellStart"/>
      <w:r>
        <w:rPr>
          <w:rFonts w:eastAsia="Calibri"/>
        </w:rPr>
        <w:t>GeoJSON's</w:t>
      </w:r>
      <w:proofErr w:type="spellEnd"/>
      <w:r>
        <w:rPr>
          <w:rFonts w:eastAsia="Calibri"/>
        </w:rPr>
        <w:t xml:space="preserve"> </w:t>
      </w:r>
      <w:proofErr w:type="spellStart"/>
      <w:proofErr w:type="gramStart"/>
      <w:r>
        <w:rPr>
          <w:rFonts w:eastAsia="Calibri"/>
        </w:rPr>
        <w:t>properties.sigla</w:t>
      </w:r>
      <w:proofErr w:type="spellEnd"/>
      <w:proofErr w:type="gramEnd"/>
      <w:r>
        <w:rPr>
          <w:rFonts w:eastAsia="Calibri"/>
        </w:rPr>
        <w:t xml:space="preserve"> field was uppercase already, while another field, properties.name, was the full Portuguese name. Once I matched </w:t>
      </w:r>
      <w:proofErr w:type="spellStart"/>
      <w:r>
        <w:rPr>
          <w:rFonts w:eastAsia="Calibri"/>
        </w:rPr>
        <w:t>featureidkey</w:t>
      </w:r>
      <w:proofErr w:type="spellEnd"/>
      <w:r>
        <w:rPr>
          <w:rFonts w:eastAsia="Calibri"/>
        </w:rPr>
        <w:t>='</w:t>
      </w:r>
      <w:proofErr w:type="spellStart"/>
      <w:proofErr w:type="gramStart"/>
      <w:r>
        <w:rPr>
          <w:rFonts w:eastAsia="Calibri"/>
        </w:rPr>
        <w:t>properties.sigla</w:t>
      </w:r>
      <w:proofErr w:type="spellEnd"/>
      <w:proofErr w:type="gramEnd"/>
      <w:r>
        <w:rPr>
          <w:rFonts w:eastAsia="Calibri"/>
        </w:rPr>
        <w:t xml:space="preserve">' to my </w:t>
      </w:r>
      <w:proofErr w:type="spellStart"/>
      <w:r>
        <w:rPr>
          <w:rFonts w:eastAsia="Calibri"/>
        </w:rPr>
        <w:t>customer_state</w:t>
      </w:r>
      <w:proofErr w:type="spellEnd"/>
      <w:r>
        <w:rPr>
          <w:rFonts w:eastAsia="Calibri"/>
        </w:rPr>
        <w:t xml:space="preserve"> column, the choropleth populated correctly. I now also wrap the map render in a try/except that falls back to a bar chart, so a network failure never breaks the page.</w:t>
      </w:r>
    </w:p>
    <w:p w14:paraId="7A95EE6C" w14:textId="77777777" w:rsidR="00F121BF" w:rsidRDefault="00A32944">
      <w:pPr>
        <w:pStyle w:val="2"/>
      </w:pPr>
      <w:r>
        <w:t>Difficulty 4 — Designing meaningful insights</w:t>
      </w:r>
    </w:p>
    <w:p w14:paraId="64E89912" w14:textId="77777777" w:rsidR="00F121BF" w:rsidRDefault="00A32944">
      <w:pPr>
        <w:spacing w:before="80" w:after="80" w:line="320" w:lineRule="auto"/>
        <w:jc w:val="both"/>
      </w:pPr>
      <w:r>
        <w:rPr>
          <w:rFonts w:eastAsia="Calibri"/>
        </w:rPr>
        <w:t xml:space="preserve">Adding a small 'Insight' callout under each chart was harder than it sounds. The first drafts read like generic descriptions ('the bar shows revenue by state'). I rewrote each one to do two things: state the specific numerical </w:t>
      </w:r>
      <w:proofErr w:type="gramStart"/>
      <w:r>
        <w:rPr>
          <w:rFonts w:eastAsia="Calibri"/>
        </w:rPr>
        <w:t>takeaway, and</w:t>
      </w:r>
      <w:proofErr w:type="gramEnd"/>
      <w:r>
        <w:rPr>
          <w:rFonts w:eastAsia="Calibri"/>
        </w:rPr>
        <w:t xml:space="preserve"> connect it to a decision the target user would make. For example, the freight-burden insight names the worst-served state, gives its actual freight percentage, contrasts it with the best-served state, and recommends a concrete action (</w:t>
      </w:r>
      <w:proofErr w:type="spellStart"/>
      <w:r>
        <w:rPr>
          <w:rFonts w:eastAsia="Calibri"/>
        </w:rPr>
        <w:t>subsidised</w:t>
      </w:r>
      <w:proofErr w:type="spellEnd"/>
      <w:r>
        <w:rPr>
          <w:rFonts w:eastAsia="Calibri"/>
        </w:rPr>
        <w:t>-shipping campaigns).</w:t>
      </w:r>
    </w:p>
    <w:p w14:paraId="4A4540B3" w14:textId="77777777" w:rsidR="00F121BF" w:rsidRDefault="00A32944">
      <w:pPr>
        <w:pStyle w:val="1"/>
        <w:pBdr>
          <w:bottom w:val="single" w:sz="8" w:space="4" w:color="1F3864"/>
        </w:pBdr>
      </w:pPr>
      <w:r>
        <w:t>6. Learning Outcomes</w:t>
      </w:r>
    </w:p>
    <w:p w14:paraId="5DCFE1DA" w14:textId="77777777" w:rsidR="00F121BF" w:rsidRDefault="00A32944">
      <w:pPr>
        <w:spacing w:before="80" w:after="80" w:line="320" w:lineRule="auto"/>
        <w:jc w:val="both"/>
      </w:pPr>
      <w:r>
        <w:rPr>
          <w:rFonts w:eastAsia="Calibri"/>
        </w:rPr>
        <w:t>This assignment shifted my Python skills from 'I can clean a dataset in a notebook' to 'I can ship a small data product that another person can run, read, and trust'. Three specific things I now do that I did not do before:</w:t>
      </w:r>
    </w:p>
    <w:p w14:paraId="0B184556" w14:textId="77777777" w:rsidR="00F121BF" w:rsidRDefault="00A32944">
      <w:pPr>
        <w:pStyle w:val="a4"/>
        <w:numPr>
          <w:ilvl w:val="0"/>
          <w:numId w:val="2"/>
        </w:numPr>
        <w:spacing w:before="60" w:after="60" w:line="300" w:lineRule="auto"/>
        <w:jc w:val="both"/>
      </w:pPr>
      <w:r>
        <w:rPr>
          <w:rFonts w:eastAsia="Calibri"/>
          <w:b/>
          <w:bCs/>
        </w:rPr>
        <w:t xml:space="preserve">Architectural separation of pipeline and product. </w:t>
      </w:r>
      <w:r>
        <w:rPr>
          <w:rFonts w:eastAsia="Calibri"/>
        </w:rPr>
        <w:t>I now treat the cleaning notebook and the application as different layers, with the cleaned CSV as a strict contract between them. This made every later change tractable; before, I would have edited cleaning logic and presentation logic in the same file and lost track of which was which.</w:t>
      </w:r>
    </w:p>
    <w:p w14:paraId="3D289F40" w14:textId="77777777" w:rsidR="00F121BF" w:rsidRDefault="00A32944">
      <w:pPr>
        <w:pStyle w:val="a4"/>
        <w:numPr>
          <w:ilvl w:val="0"/>
          <w:numId w:val="2"/>
        </w:numPr>
        <w:spacing w:before="60" w:after="60" w:line="300" w:lineRule="auto"/>
        <w:jc w:val="both"/>
      </w:pPr>
      <w:r>
        <w:rPr>
          <w:rFonts w:eastAsia="Calibri"/>
          <w:b/>
          <w:bCs/>
        </w:rPr>
        <w:t xml:space="preserve">Designing for the marker as a user. </w:t>
      </w:r>
      <w:r>
        <w:rPr>
          <w:rFonts w:eastAsia="Calibri"/>
        </w:rPr>
        <w:t>Writing a friendly 'data file not found' page, including a sample_data.csv for the upload feature, and putting one-command launch instructions at the top of the README are all things I would have skipped on a personal project. They turn out to be the difference between a project that runs and a project that someone else can demonstrate.</w:t>
      </w:r>
    </w:p>
    <w:p w14:paraId="5A723E21" w14:textId="77777777" w:rsidR="00F121BF" w:rsidRDefault="00A32944">
      <w:pPr>
        <w:pStyle w:val="a4"/>
        <w:numPr>
          <w:ilvl w:val="0"/>
          <w:numId w:val="2"/>
        </w:numPr>
        <w:spacing w:before="60" w:after="60" w:line="300" w:lineRule="auto"/>
        <w:jc w:val="both"/>
      </w:pPr>
      <w:r>
        <w:rPr>
          <w:rFonts w:eastAsia="Calibri"/>
          <w:b/>
          <w:bCs/>
        </w:rPr>
        <w:t xml:space="preserve">Insight as a deliverable. </w:t>
      </w:r>
      <w:r>
        <w:rPr>
          <w:rFonts w:eastAsia="Calibri"/>
        </w:rPr>
        <w:t xml:space="preserve">Numbers without interpretation are not analysis. Forcing every chart to be paired with a written takeaway taught me to think about what each </w:t>
      </w:r>
      <w:proofErr w:type="spellStart"/>
      <w:r>
        <w:rPr>
          <w:rFonts w:eastAsia="Calibri"/>
        </w:rPr>
        <w:t>visualisation</w:t>
      </w:r>
      <w:proofErr w:type="spellEnd"/>
      <w:r>
        <w:rPr>
          <w:rFonts w:eastAsia="Calibri"/>
        </w:rPr>
        <w:t xml:space="preserve"> </w:t>
      </w:r>
      <w:proofErr w:type="gramStart"/>
      <w:r>
        <w:rPr>
          <w:rFonts w:eastAsia="Calibri"/>
        </w:rPr>
        <w:t>actually says</w:t>
      </w:r>
      <w:proofErr w:type="gramEnd"/>
      <w:r>
        <w:rPr>
          <w:rFonts w:eastAsia="Calibri"/>
        </w:rPr>
        <w:t>, not just what it depicts.</w:t>
      </w:r>
    </w:p>
    <w:p w14:paraId="6BC656B2" w14:textId="77777777" w:rsidR="00F121BF" w:rsidRDefault="00A32944">
      <w:pPr>
        <w:spacing w:before="80" w:after="80" w:line="320" w:lineRule="auto"/>
        <w:jc w:val="both"/>
      </w:pPr>
      <w:r>
        <w:rPr>
          <w:rFonts w:eastAsia="Calibri"/>
        </w:rPr>
        <w:t xml:space="preserve">Skills I plan to develop further include statistical testing (the current dashboard surfaces patterns but does not formally test them), customer-segmentation modelling (an RFM module would be a natural fifth page), and deployment beyond a local </w:t>
      </w:r>
      <w:proofErr w:type="spellStart"/>
      <w:r>
        <w:rPr>
          <w:rFonts w:eastAsia="Calibri"/>
        </w:rPr>
        <w:t>Streamlit</w:t>
      </w:r>
      <w:proofErr w:type="spellEnd"/>
      <w:r>
        <w:rPr>
          <w:rFonts w:eastAsia="Calibri"/>
        </w:rPr>
        <w:t xml:space="preserve"> instance — packaging the same code as a </w:t>
      </w:r>
      <w:proofErr w:type="spellStart"/>
      <w:r>
        <w:rPr>
          <w:rFonts w:eastAsia="Calibri"/>
        </w:rPr>
        <w:t>containerised</w:t>
      </w:r>
      <w:proofErr w:type="spellEnd"/>
      <w:r>
        <w:rPr>
          <w:rFonts w:eastAsia="Calibri"/>
        </w:rPr>
        <w:t xml:space="preserve"> service would be the next logical step.</w:t>
      </w:r>
    </w:p>
    <w:p w14:paraId="32F8DB48" w14:textId="77777777" w:rsidR="00F121BF" w:rsidRDefault="00A32944">
      <w:pPr>
        <w:pStyle w:val="1"/>
        <w:pBdr>
          <w:bottom w:val="single" w:sz="8" w:space="4" w:color="1F3864"/>
        </w:pBdr>
      </w:pPr>
      <w:r>
        <w:t>7. Professional Practice</w:t>
      </w:r>
    </w:p>
    <w:p w14:paraId="1001334C" w14:textId="77777777" w:rsidR="00F121BF" w:rsidRDefault="00A32944">
      <w:pPr>
        <w:spacing w:before="80" w:after="80" w:line="320" w:lineRule="auto"/>
        <w:jc w:val="both"/>
      </w:pPr>
      <w:r>
        <w:rPr>
          <w:rFonts w:eastAsia="Calibri"/>
        </w:rPr>
        <w:t>I treated this assignment as a portfolio piece, which influenced several choices that the rubric rewards but does not strictly require. The repository uses descriptive commit messages and a clear README with screenshots and a how-to-run section. The notebook is structured as a readable narrative, not a scratchpad. Code is commented in English, uses consistent naming (</w:t>
      </w:r>
      <w:proofErr w:type="spellStart"/>
      <w:r>
        <w:rPr>
          <w:rFonts w:eastAsia="Calibri"/>
        </w:rPr>
        <w:t>snake_case</w:t>
      </w:r>
      <w:proofErr w:type="spellEnd"/>
      <w:r>
        <w:rPr>
          <w:rFonts w:eastAsia="Calibri"/>
        </w:rPr>
        <w:t xml:space="preserve"> throughout), and separates configuration constants from logic. A requirements.txt with version constraints means a marker on a fresh machine can reproduce my environment in one command.</w:t>
      </w:r>
    </w:p>
    <w:p w14:paraId="1919B1CB" w14:textId="77777777" w:rsidR="00F121BF" w:rsidRDefault="00A32944">
      <w:pPr>
        <w:spacing w:before="80" w:after="80" w:line="320" w:lineRule="auto"/>
        <w:jc w:val="both"/>
      </w:pPr>
      <w:r>
        <w:rPr>
          <w:rFonts w:eastAsia="Calibri"/>
        </w:rPr>
        <w:t xml:space="preserve">Where I used external resources, I credited them: the </w:t>
      </w:r>
      <w:proofErr w:type="spellStart"/>
      <w:r>
        <w:rPr>
          <w:rFonts w:eastAsia="Calibri"/>
        </w:rPr>
        <w:t>Olist</w:t>
      </w:r>
      <w:proofErr w:type="spellEnd"/>
      <w:r>
        <w:rPr>
          <w:rFonts w:eastAsia="Calibri"/>
        </w:rPr>
        <w:t xml:space="preserve"> dataset is cited with publisher, license, access date, and URL; the Brazil </w:t>
      </w:r>
      <w:proofErr w:type="spellStart"/>
      <w:r>
        <w:rPr>
          <w:rFonts w:eastAsia="Calibri"/>
        </w:rPr>
        <w:t>GeoJSON</w:t>
      </w:r>
      <w:proofErr w:type="spellEnd"/>
      <w:r>
        <w:rPr>
          <w:rFonts w:eastAsia="Calibri"/>
        </w:rPr>
        <w:t xml:space="preserve"> is credited to its open-source maintainer; </w:t>
      </w:r>
      <w:proofErr w:type="spellStart"/>
      <w:r>
        <w:rPr>
          <w:rFonts w:eastAsia="Calibri"/>
        </w:rPr>
        <w:t>Streamlit</w:t>
      </w:r>
      <w:proofErr w:type="spellEnd"/>
      <w:r>
        <w:rPr>
          <w:rFonts w:eastAsia="Calibri"/>
        </w:rPr>
        <w:t xml:space="preserve">, </w:t>
      </w:r>
      <w:proofErr w:type="spellStart"/>
      <w:r>
        <w:rPr>
          <w:rFonts w:eastAsia="Calibri"/>
        </w:rPr>
        <w:t>Plotly</w:t>
      </w:r>
      <w:proofErr w:type="spellEnd"/>
      <w:r>
        <w:rPr>
          <w:rFonts w:eastAsia="Calibri"/>
        </w:rPr>
        <w:t xml:space="preserve"> and pandas are mentioned as the open-source tooling that made the project feasible.</w:t>
      </w:r>
    </w:p>
    <w:p w14:paraId="09C681A8" w14:textId="77777777" w:rsidR="00F121BF" w:rsidRDefault="00A32944">
      <w:pPr>
        <w:pStyle w:val="1"/>
        <w:pBdr>
          <w:bottom w:val="single" w:sz="8" w:space="4" w:color="1F3864"/>
        </w:pBdr>
      </w:pPr>
      <w:r>
        <w:t>8. AI Disclosure</w:t>
      </w:r>
    </w:p>
    <w:p w14:paraId="1F68B365" w14:textId="77777777" w:rsidR="00F121BF" w:rsidRDefault="00A32944">
      <w:pPr>
        <w:spacing w:before="80" w:after="80" w:line="320" w:lineRule="auto"/>
        <w:jc w:val="both"/>
      </w:pPr>
      <w:r>
        <w:rPr>
          <w:rFonts w:eastAsia="Calibri"/>
        </w:rPr>
        <w:t xml:space="preserve">In line with the assignment's requirements and </w:t>
      </w:r>
      <w:proofErr w:type="spellStart"/>
      <w:r>
        <w:rPr>
          <w:rFonts w:eastAsia="Calibri"/>
        </w:rPr>
        <w:t>Anthropic's</w:t>
      </w:r>
      <w:proofErr w:type="spellEnd"/>
      <w:r>
        <w:rPr>
          <w:rFonts w:eastAsia="Calibri"/>
        </w:rPr>
        <w:t xml:space="preserve"> responsible-use guidance, I declare AI assistance used during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F121BF" w14:paraId="542E33C4" w14:textId="77777777">
        <w:tblPrEx>
          <w:tblCellMar>
            <w:top w:w="0" w:type="dxa"/>
            <w:bottom w:w="0" w:type="dxa"/>
          </w:tblCellMar>
        </w:tblPrEx>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0EB6E75C" w14:textId="77777777" w:rsidR="00F121BF" w:rsidRDefault="00A32944">
            <w:pPr>
              <w:spacing w:before="40" w:after="40"/>
            </w:pPr>
            <w:r>
              <w:rPr>
                <w:rFonts w:eastAsia="Calibri"/>
                <w:b/>
                <w:bCs/>
              </w:rPr>
              <w:t>Tool name</w:t>
            </w:r>
          </w:p>
        </w:tc>
        <w:tc>
          <w:tcPr>
            <w:tcW w:w="696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9D67AB5" w14:textId="77777777" w:rsidR="00F121BF" w:rsidRDefault="00A32944">
            <w:pPr>
              <w:spacing w:before="40" w:after="40"/>
            </w:pPr>
            <w:r>
              <w:rPr>
                <w:rFonts w:eastAsia="Calibri"/>
              </w:rPr>
              <w:t>Claude (Anthropic)</w:t>
            </w:r>
          </w:p>
        </w:tc>
      </w:tr>
      <w:tr w:rsidR="00F121BF" w14:paraId="7B9FD516" w14:textId="77777777">
        <w:tblPrEx>
          <w:tblCellMar>
            <w:top w:w="0" w:type="dxa"/>
            <w:bottom w:w="0" w:type="dxa"/>
          </w:tblCellMar>
        </w:tblPrEx>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0B84C105" w14:textId="77777777" w:rsidR="00F121BF" w:rsidRDefault="00A32944">
            <w:pPr>
              <w:spacing w:before="40" w:after="40"/>
            </w:pPr>
            <w:r>
              <w:rPr>
                <w:rFonts w:eastAsia="Calibri"/>
                <w:b/>
                <w:bCs/>
              </w:rPr>
              <w:t>Model / version</w:t>
            </w:r>
          </w:p>
        </w:tc>
        <w:tc>
          <w:tcPr>
            <w:tcW w:w="696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EED95FC" w14:textId="77777777" w:rsidR="00F121BF" w:rsidRDefault="00A32944">
            <w:pPr>
              <w:spacing w:before="40" w:after="40"/>
            </w:pPr>
            <w:r>
              <w:rPr>
                <w:rFonts w:eastAsia="Calibri"/>
              </w:rPr>
              <w:t>Claude Opus 4.7</w:t>
            </w:r>
          </w:p>
        </w:tc>
      </w:tr>
      <w:tr w:rsidR="00F121BF" w14:paraId="03F818D9" w14:textId="77777777">
        <w:tblPrEx>
          <w:tblCellMar>
            <w:top w:w="0" w:type="dxa"/>
            <w:bottom w:w="0" w:type="dxa"/>
          </w:tblCellMar>
        </w:tblPrEx>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3DBEA674" w14:textId="77777777" w:rsidR="00F121BF" w:rsidRDefault="00A32944">
            <w:pPr>
              <w:spacing w:before="40" w:after="40"/>
            </w:pPr>
            <w:r>
              <w:rPr>
                <w:rFonts w:eastAsia="Calibri"/>
                <w:b/>
                <w:bCs/>
              </w:rPr>
              <w:t>Access date(s)</w:t>
            </w:r>
          </w:p>
        </w:tc>
        <w:tc>
          <w:tcPr>
            <w:tcW w:w="696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604748D" w14:textId="77777777" w:rsidR="00F121BF" w:rsidRDefault="00A32944">
            <w:pPr>
              <w:spacing w:before="40" w:after="40"/>
            </w:pPr>
            <w:r>
              <w:rPr>
                <w:rFonts w:eastAsia="Calibri"/>
              </w:rPr>
              <w:t>April 2026 (multiple sessions)</w:t>
            </w:r>
          </w:p>
        </w:tc>
      </w:tr>
      <w:tr w:rsidR="00F121BF" w14:paraId="0ABC5616" w14:textId="77777777">
        <w:tblPrEx>
          <w:tblCellMar>
            <w:top w:w="0" w:type="dxa"/>
            <w:bottom w:w="0" w:type="dxa"/>
          </w:tblCellMar>
        </w:tblPrEx>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5FDDE537" w14:textId="77777777" w:rsidR="00F121BF" w:rsidRDefault="00A32944">
            <w:pPr>
              <w:spacing w:before="40" w:after="40"/>
            </w:pPr>
            <w:r>
              <w:rPr>
                <w:rFonts w:eastAsia="Calibri"/>
                <w:b/>
                <w:bCs/>
              </w:rPr>
              <w:t>Where used</w:t>
            </w:r>
          </w:p>
        </w:tc>
        <w:tc>
          <w:tcPr>
            <w:tcW w:w="696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EAF6B82" w14:textId="77777777" w:rsidR="00F121BF" w:rsidRDefault="00A32944">
            <w:pPr>
              <w:spacing w:before="40" w:after="40"/>
            </w:pPr>
            <w:r>
              <w:rPr>
                <w:rFonts w:eastAsia="Calibri"/>
              </w:rPr>
              <w:t xml:space="preserve">Drafting the project structure for app.py and the cleaning notebook; suggesting </w:t>
            </w:r>
            <w:proofErr w:type="spellStart"/>
            <w:r>
              <w:rPr>
                <w:rFonts w:eastAsia="Calibri"/>
              </w:rPr>
              <w:t>visualisation</w:t>
            </w:r>
            <w:proofErr w:type="spellEnd"/>
            <w:r>
              <w:rPr>
                <w:rFonts w:eastAsia="Calibri"/>
              </w:rPr>
              <w:t xml:space="preserve"> patterns (Pareto chart, </w:t>
            </w:r>
            <w:proofErr w:type="spellStart"/>
            <w:r>
              <w:rPr>
                <w:rFonts w:eastAsia="Calibri"/>
              </w:rPr>
              <w:t>treemap</w:t>
            </w:r>
            <w:proofErr w:type="spellEnd"/>
            <w:r>
              <w:rPr>
                <w:rFonts w:eastAsia="Calibri"/>
              </w:rPr>
              <w:t xml:space="preserve"> </w:t>
            </w:r>
            <w:proofErr w:type="spellStart"/>
            <w:r>
              <w:rPr>
                <w:rFonts w:eastAsia="Calibri"/>
              </w:rPr>
              <w:t>colouring</w:t>
            </w:r>
            <w:proofErr w:type="spellEnd"/>
            <w:r>
              <w:rPr>
                <w:rFonts w:eastAsia="Calibri"/>
              </w:rPr>
              <w:t>); drafting README, this reflective report, and inline code comments; reviewing code for clarity and reproducibility; debugging path-resolution and caching issues.</w:t>
            </w:r>
          </w:p>
        </w:tc>
      </w:tr>
      <w:tr w:rsidR="00F121BF" w14:paraId="23E0C411" w14:textId="77777777">
        <w:tblPrEx>
          <w:tblCellMar>
            <w:top w:w="0" w:type="dxa"/>
            <w:bottom w:w="0" w:type="dxa"/>
          </w:tblCellMar>
        </w:tblPrEx>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763F4721" w14:textId="77777777" w:rsidR="00F121BF" w:rsidRDefault="00A32944">
            <w:pPr>
              <w:spacing w:before="40" w:after="40"/>
            </w:pPr>
            <w:r>
              <w:rPr>
                <w:rFonts w:eastAsia="Calibri"/>
                <w:b/>
                <w:bCs/>
              </w:rPr>
              <w:t>Where NOT used</w:t>
            </w:r>
          </w:p>
        </w:tc>
        <w:tc>
          <w:tcPr>
            <w:tcW w:w="696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498C594" w14:textId="77777777" w:rsidR="00F121BF" w:rsidRDefault="00A32944">
            <w:pPr>
              <w:spacing w:before="40" w:after="40"/>
            </w:pPr>
            <w:r>
              <w:rPr>
                <w:rFonts w:eastAsia="Calibri"/>
              </w:rPr>
              <w:t>Writing the analytical findings without verification; choosing the dataset; running the actual code; interpreting results. All numerical claims in this report were validated by re-running the pipeline against the live data.</w:t>
            </w:r>
          </w:p>
        </w:tc>
      </w:tr>
      <w:tr w:rsidR="00F121BF" w14:paraId="73B66E1F" w14:textId="77777777">
        <w:tblPrEx>
          <w:tblCellMar>
            <w:top w:w="0" w:type="dxa"/>
            <w:bottom w:w="0" w:type="dxa"/>
          </w:tblCellMar>
        </w:tblPrEx>
        <w:tc>
          <w:tcPr>
            <w:tcW w:w="2400" w:type="dxa"/>
            <w:tcBorders>
              <w:top w:val="single" w:sz="6" w:space="0" w:color="CCCCCC"/>
              <w:left w:val="single" w:sz="6" w:space="0" w:color="CCCCCC"/>
              <w:bottom w:val="single" w:sz="6" w:space="0" w:color="CCCCCC"/>
              <w:right w:val="single" w:sz="6" w:space="0" w:color="CCCCCC"/>
            </w:tcBorders>
            <w:shd w:val="clear" w:color="auto" w:fill="D9E2F3"/>
            <w:tcMar>
              <w:top w:w="100" w:type="dxa"/>
              <w:left w:w="140" w:type="dxa"/>
              <w:bottom w:w="100" w:type="dxa"/>
              <w:right w:w="140" w:type="dxa"/>
            </w:tcMar>
          </w:tcPr>
          <w:p w14:paraId="00CE790D" w14:textId="77777777" w:rsidR="00F121BF" w:rsidRDefault="00A32944">
            <w:pPr>
              <w:spacing w:before="40" w:after="40"/>
            </w:pPr>
            <w:r>
              <w:rPr>
                <w:rFonts w:eastAsia="Calibri"/>
                <w:b/>
                <w:bCs/>
              </w:rPr>
              <w:t>My responsibility</w:t>
            </w:r>
          </w:p>
        </w:tc>
        <w:tc>
          <w:tcPr>
            <w:tcW w:w="696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0C069608" w14:textId="77777777" w:rsidR="00F121BF" w:rsidRDefault="00A32944">
            <w:pPr>
              <w:spacing w:before="40" w:after="40"/>
            </w:pPr>
            <w:r>
              <w:rPr>
                <w:rFonts w:eastAsia="Calibri"/>
              </w:rPr>
              <w:t>I ran every line of code, verified every output, and edited every AI-suggested passage. The choice of problem framing, dataset, dashboard structure, findings, and limitations are my own.</w:t>
            </w:r>
          </w:p>
        </w:tc>
      </w:tr>
    </w:tbl>
    <w:p w14:paraId="38AB8FF7" w14:textId="77777777" w:rsidR="00F121BF" w:rsidRDefault="00F121BF"/>
    <w:p w14:paraId="28BEB9CB" w14:textId="77777777" w:rsidR="00F121BF" w:rsidRDefault="00A32944">
      <w:pPr>
        <w:spacing w:before="80" w:after="80" w:line="320" w:lineRule="auto"/>
        <w:jc w:val="both"/>
      </w:pPr>
      <w:r>
        <w:rPr>
          <w:rFonts w:eastAsia="Calibri"/>
        </w:rPr>
        <w:t xml:space="preserve">I also used Anaconda's </w:t>
      </w:r>
      <w:proofErr w:type="spellStart"/>
      <w:r>
        <w:rPr>
          <w:rFonts w:eastAsia="Calibri"/>
        </w:rPr>
        <w:t>Jupyter</w:t>
      </w:r>
      <w:proofErr w:type="spellEnd"/>
      <w:r>
        <w:rPr>
          <w:rFonts w:eastAsia="Calibri"/>
        </w:rPr>
        <w:t xml:space="preserve"> kernel and Python distribution, the </w:t>
      </w:r>
      <w:proofErr w:type="spellStart"/>
      <w:r>
        <w:rPr>
          <w:rFonts w:eastAsia="Calibri"/>
        </w:rPr>
        <w:t>Olist</w:t>
      </w:r>
      <w:proofErr w:type="spellEnd"/>
      <w:r>
        <w:rPr>
          <w:rFonts w:eastAsia="Calibri"/>
        </w:rPr>
        <w:t xml:space="preserve"> dataset (cited above), the </w:t>
      </w:r>
      <w:proofErr w:type="spellStart"/>
      <w:r>
        <w:rPr>
          <w:rFonts w:eastAsia="Calibri"/>
        </w:rPr>
        <w:t>Streamlit</w:t>
      </w:r>
      <w:proofErr w:type="spellEnd"/>
      <w:r>
        <w:rPr>
          <w:rFonts w:eastAsia="Calibri"/>
        </w:rPr>
        <w:t xml:space="preserve"> and </w:t>
      </w:r>
      <w:proofErr w:type="spellStart"/>
      <w:r>
        <w:rPr>
          <w:rFonts w:eastAsia="Calibri"/>
        </w:rPr>
        <w:t>Plotly</w:t>
      </w:r>
      <w:proofErr w:type="spellEnd"/>
      <w:r>
        <w:rPr>
          <w:rFonts w:eastAsia="Calibri"/>
        </w:rPr>
        <w:t xml:space="preserve"> libraries, and </w:t>
      </w:r>
      <w:proofErr w:type="spellStart"/>
      <w:r>
        <w:rPr>
          <w:rFonts w:eastAsia="Calibri"/>
        </w:rPr>
        <w:t>Streamlit's</w:t>
      </w:r>
      <w:proofErr w:type="spellEnd"/>
      <w:r>
        <w:rPr>
          <w:rFonts w:eastAsia="Calibri"/>
        </w:rPr>
        <w:t xml:space="preserve"> official documentation. These are tools and references rather than AI assistance, but I list them here for completeness.</w:t>
      </w:r>
    </w:p>
    <w:p w14:paraId="37EA6A07" w14:textId="77777777" w:rsidR="00F121BF" w:rsidRDefault="00A32944">
      <w:pPr>
        <w:pStyle w:val="1"/>
        <w:pBdr>
          <w:bottom w:val="single" w:sz="8" w:space="4" w:color="1F3864"/>
        </w:pBdr>
      </w:pPr>
      <w:r>
        <w:t>References</w:t>
      </w:r>
    </w:p>
    <w:p w14:paraId="36F25ABF" w14:textId="77777777" w:rsidR="00F121BF" w:rsidRDefault="00A32944">
      <w:pPr>
        <w:spacing w:before="80" w:after="80" w:line="320" w:lineRule="auto"/>
        <w:jc w:val="both"/>
      </w:pPr>
      <w:proofErr w:type="spellStart"/>
      <w:r>
        <w:rPr>
          <w:rFonts w:eastAsia="Calibri"/>
        </w:rPr>
        <w:t>Olist</w:t>
      </w:r>
      <w:proofErr w:type="spellEnd"/>
      <w:r>
        <w:rPr>
          <w:rFonts w:eastAsia="Calibri"/>
        </w:rPr>
        <w:t>, 2018. Brazilian E-Commerce Public Dataset. [online] Kaggle. Available at: https://www.kaggle.com/datasets/olistbr/brazilian-ecommerce. Licensed under CC BY-NC-SA 4.0. Accessed April 2026.</w:t>
      </w:r>
    </w:p>
    <w:p w14:paraId="0A9020D0" w14:textId="77777777" w:rsidR="00F121BF" w:rsidRDefault="00A32944">
      <w:pPr>
        <w:spacing w:before="80" w:after="80" w:line="320" w:lineRule="auto"/>
        <w:jc w:val="both"/>
      </w:pPr>
      <w:proofErr w:type="spellStart"/>
      <w:r>
        <w:rPr>
          <w:rFonts w:eastAsia="Calibri"/>
        </w:rPr>
        <w:t>Streamlit</w:t>
      </w:r>
      <w:proofErr w:type="spellEnd"/>
      <w:r>
        <w:rPr>
          <w:rFonts w:eastAsia="Calibri"/>
        </w:rPr>
        <w:t xml:space="preserve"> Inc., 2026. </w:t>
      </w:r>
      <w:proofErr w:type="spellStart"/>
      <w:r>
        <w:rPr>
          <w:rFonts w:eastAsia="Calibri"/>
        </w:rPr>
        <w:t>Streamlit</w:t>
      </w:r>
      <w:proofErr w:type="spellEnd"/>
      <w:r>
        <w:rPr>
          <w:rFonts w:eastAsia="Calibri"/>
        </w:rPr>
        <w:t xml:space="preserve"> documentation. [online] Available at: https://docs.streamlit.io</w:t>
      </w:r>
    </w:p>
    <w:p w14:paraId="564793B8" w14:textId="77777777" w:rsidR="00F121BF" w:rsidRDefault="00A32944">
      <w:pPr>
        <w:spacing w:before="80" w:after="80" w:line="320" w:lineRule="auto"/>
        <w:jc w:val="both"/>
      </w:pPr>
      <w:proofErr w:type="spellStart"/>
      <w:r>
        <w:rPr>
          <w:rFonts w:eastAsia="Calibri"/>
        </w:rPr>
        <w:t>Plotly</w:t>
      </w:r>
      <w:proofErr w:type="spellEnd"/>
      <w:r>
        <w:rPr>
          <w:rFonts w:eastAsia="Calibri"/>
        </w:rPr>
        <w:t xml:space="preserve"> Technologies Inc., 2026. </w:t>
      </w:r>
      <w:proofErr w:type="spellStart"/>
      <w:r>
        <w:rPr>
          <w:rFonts w:eastAsia="Calibri"/>
        </w:rPr>
        <w:t>Plotly</w:t>
      </w:r>
      <w:proofErr w:type="spellEnd"/>
      <w:r>
        <w:rPr>
          <w:rFonts w:eastAsia="Calibri"/>
        </w:rPr>
        <w:t xml:space="preserve"> Python graphing library. [online] Available at: https://plotly.com/python/</w:t>
      </w:r>
    </w:p>
    <w:p w14:paraId="12FAD09D" w14:textId="77777777" w:rsidR="00F121BF" w:rsidRDefault="00A32944">
      <w:pPr>
        <w:spacing w:before="80" w:after="80" w:line="320" w:lineRule="auto"/>
        <w:jc w:val="both"/>
      </w:pPr>
      <w:r>
        <w:rPr>
          <w:rFonts w:eastAsia="Calibri"/>
        </w:rPr>
        <w:t>McKinney, W., 2010. Data structures for statistical computing in Python. Proceedings of the 9th Python in Science Conference, 445, pp.51–56.</w:t>
      </w:r>
    </w:p>
    <w:p w14:paraId="3B21D78D" w14:textId="77777777" w:rsidR="00F121BF" w:rsidRDefault="00A32944">
      <w:pPr>
        <w:spacing w:before="80" w:after="80" w:line="320" w:lineRule="auto"/>
        <w:jc w:val="both"/>
      </w:pPr>
      <w:proofErr w:type="spellStart"/>
      <w:r>
        <w:rPr>
          <w:rFonts w:eastAsia="Calibri"/>
        </w:rPr>
        <w:t>click_that_hood</w:t>
      </w:r>
      <w:proofErr w:type="spellEnd"/>
      <w:r>
        <w:rPr>
          <w:rFonts w:eastAsia="Calibri"/>
        </w:rPr>
        <w:t xml:space="preserve"> (</w:t>
      </w:r>
      <w:proofErr w:type="spellStart"/>
      <w:r>
        <w:rPr>
          <w:rFonts w:eastAsia="Calibri"/>
        </w:rPr>
        <w:t>codeforgermany</w:t>
      </w:r>
      <w:proofErr w:type="spellEnd"/>
      <w:r>
        <w:rPr>
          <w:rFonts w:eastAsia="Calibri"/>
        </w:rPr>
        <w:t xml:space="preserve">), 2024. Brazil states </w:t>
      </w:r>
      <w:proofErr w:type="spellStart"/>
      <w:r>
        <w:rPr>
          <w:rFonts w:eastAsia="Calibri"/>
        </w:rPr>
        <w:t>GeoJSON</w:t>
      </w:r>
      <w:proofErr w:type="spellEnd"/>
      <w:r>
        <w:rPr>
          <w:rFonts w:eastAsia="Calibri"/>
        </w:rPr>
        <w:t>. [online] GitHub. Available at: https://github.com/codeforgermany/click_that_hood</w:t>
      </w:r>
    </w:p>
    <w:sectPr w:rsidR="00F121B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BD160" w14:textId="77777777" w:rsidR="00A32944" w:rsidRDefault="00A32944">
      <w:r>
        <w:separator/>
      </w:r>
    </w:p>
  </w:endnote>
  <w:endnote w:type="continuationSeparator" w:id="0">
    <w:p w14:paraId="1096731F" w14:textId="77777777" w:rsidR="00A32944" w:rsidRDefault="00A32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7A9FF" w14:textId="77777777" w:rsidR="00F121BF" w:rsidRDefault="00A32944">
    <w:pPr>
      <w:jc w:val="center"/>
    </w:pPr>
    <w:r>
      <w:rPr>
        <w:rFonts w:eastAsia="Calibri"/>
        <w:color w:val="808080"/>
        <w:sz w:val="18"/>
        <w:szCs w:val="18"/>
      </w:rPr>
      <w:t xml:space="preserve">Page </w:t>
    </w:r>
    <w:r>
      <w:rPr>
        <w:color w:val="808080"/>
        <w:sz w:val="18"/>
        <w:szCs w:val="18"/>
      </w:rPr>
      <w:fldChar w:fldCharType="begin"/>
    </w:r>
    <w:r>
      <w:rPr>
        <w:rFonts w:eastAsia="Calibri"/>
        <w:color w:val="808080"/>
        <w:sz w:val="18"/>
        <w:szCs w:val="18"/>
      </w:rPr>
      <w:instrText>PAGE</w:instrText>
    </w:r>
    <w:r>
      <w:rPr>
        <w:color w:val="808080"/>
        <w:sz w:val="18"/>
        <w:szCs w:val="18"/>
      </w:rPr>
      <w:fldChar w:fldCharType="separate"/>
    </w:r>
    <w:r w:rsidR="005E79F0">
      <w:rPr>
        <w:rFonts w:eastAsia="Calibri"/>
        <w:noProof/>
        <w:color w:val="808080"/>
        <w:sz w:val="18"/>
        <w:szCs w:val="18"/>
      </w:rPr>
      <w:t>1</w:t>
    </w:r>
    <w:r>
      <w:rPr>
        <w:color w:val="808080"/>
        <w:sz w:val="18"/>
        <w:szCs w:val="18"/>
      </w:rPr>
      <w:fldChar w:fldCharType="end"/>
    </w:r>
    <w:r>
      <w:rPr>
        <w:rFonts w:eastAsia="Calibri"/>
        <w:color w:val="808080"/>
        <w:sz w:val="18"/>
        <w:szCs w:val="18"/>
      </w:rPr>
      <w:t xml:space="preserve"> of </w:t>
    </w:r>
    <w:r>
      <w:rPr>
        <w:color w:val="808080"/>
        <w:sz w:val="18"/>
        <w:szCs w:val="18"/>
      </w:rPr>
      <w:fldChar w:fldCharType="begin"/>
    </w:r>
    <w:r>
      <w:rPr>
        <w:rFonts w:eastAsia="Calibri"/>
        <w:color w:val="808080"/>
        <w:sz w:val="18"/>
        <w:szCs w:val="18"/>
      </w:rPr>
      <w:instrText>NUMPAGES</w:instrText>
    </w:r>
    <w:r>
      <w:rPr>
        <w:color w:val="808080"/>
        <w:sz w:val="18"/>
        <w:szCs w:val="18"/>
      </w:rPr>
      <w:fldChar w:fldCharType="separate"/>
    </w:r>
    <w:r w:rsidR="005E79F0">
      <w:rPr>
        <w:rFonts w:eastAsia="Calibri"/>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9DBF0" w14:textId="77777777" w:rsidR="00A32944" w:rsidRDefault="00A32944">
      <w:r>
        <w:separator/>
      </w:r>
    </w:p>
  </w:footnote>
  <w:footnote w:type="continuationSeparator" w:id="0">
    <w:p w14:paraId="071596E7" w14:textId="77777777" w:rsidR="00A32944" w:rsidRDefault="00A329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32A3" w14:textId="77777777" w:rsidR="00F121BF" w:rsidRDefault="00A32944">
    <w:pPr>
      <w:jc w:val="right"/>
    </w:pPr>
    <w:r>
      <w:rPr>
        <w:rFonts w:eastAsia="Calibri"/>
        <w:i/>
        <w:iCs/>
        <w:color w:val="808080"/>
        <w:sz w:val="18"/>
        <w:szCs w:val="18"/>
      </w:rPr>
      <w:t>Reflective Report — ACC102 Track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136C1A"/>
    <w:multiLevelType w:val="hybridMultilevel"/>
    <w:tmpl w:val="CC00B132"/>
    <w:lvl w:ilvl="0" w:tplc="6C8A7746">
      <w:start w:val="1"/>
      <w:numFmt w:val="bullet"/>
      <w:lvlText w:val="•"/>
      <w:lvlJc w:val="left"/>
      <w:pPr>
        <w:ind w:left="720" w:hanging="360"/>
      </w:pPr>
    </w:lvl>
    <w:lvl w:ilvl="1" w:tplc="5906903A">
      <w:start w:val="1"/>
      <w:numFmt w:val="bullet"/>
      <w:lvlText w:val="◦"/>
      <w:lvlJc w:val="left"/>
      <w:pPr>
        <w:ind w:left="1440" w:hanging="360"/>
      </w:pPr>
    </w:lvl>
    <w:lvl w:ilvl="2" w:tplc="83D89C62">
      <w:numFmt w:val="decimal"/>
      <w:lvlText w:val=""/>
      <w:lvlJc w:val="left"/>
    </w:lvl>
    <w:lvl w:ilvl="3" w:tplc="E0DE4AB8">
      <w:numFmt w:val="decimal"/>
      <w:lvlText w:val=""/>
      <w:lvlJc w:val="left"/>
    </w:lvl>
    <w:lvl w:ilvl="4" w:tplc="07A8061E">
      <w:numFmt w:val="decimal"/>
      <w:lvlText w:val=""/>
      <w:lvlJc w:val="left"/>
    </w:lvl>
    <w:lvl w:ilvl="5" w:tplc="2ADE0E7E">
      <w:numFmt w:val="decimal"/>
      <w:lvlText w:val=""/>
      <w:lvlJc w:val="left"/>
    </w:lvl>
    <w:lvl w:ilvl="6" w:tplc="48320DDE">
      <w:numFmt w:val="decimal"/>
      <w:lvlText w:val=""/>
      <w:lvlJc w:val="left"/>
    </w:lvl>
    <w:lvl w:ilvl="7" w:tplc="7FFC6D7A">
      <w:numFmt w:val="decimal"/>
      <w:lvlText w:val=""/>
      <w:lvlJc w:val="left"/>
    </w:lvl>
    <w:lvl w:ilvl="8" w:tplc="49D84624">
      <w:numFmt w:val="decimal"/>
      <w:lvlText w:val=""/>
      <w:lvlJc w:val="left"/>
    </w:lvl>
  </w:abstractNum>
  <w:abstractNum w:abstractNumId="1" w15:restartNumberingAfterBreak="0">
    <w:nsid w:val="59EE441C"/>
    <w:multiLevelType w:val="hybridMultilevel"/>
    <w:tmpl w:val="45AA0BC8"/>
    <w:lvl w:ilvl="0" w:tplc="3490F494">
      <w:start w:val="1"/>
      <w:numFmt w:val="bullet"/>
      <w:lvlText w:val="●"/>
      <w:lvlJc w:val="left"/>
      <w:pPr>
        <w:ind w:left="720" w:hanging="360"/>
      </w:pPr>
    </w:lvl>
    <w:lvl w:ilvl="1" w:tplc="59C2F278">
      <w:start w:val="1"/>
      <w:numFmt w:val="bullet"/>
      <w:lvlText w:val="○"/>
      <w:lvlJc w:val="left"/>
      <w:pPr>
        <w:ind w:left="1440" w:hanging="360"/>
      </w:pPr>
    </w:lvl>
    <w:lvl w:ilvl="2" w:tplc="B0ECC456">
      <w:start w:val="1"/>
      <w:numFmt w:val="bullet"/>
      <w:lvlText w:val="■"/>
      <w:lvlJc w:val="left"/>
      <w:pPr>
        <w:ind w:left="2160" w:hanging="360"/>
      </w:pPr>
    </w:lvl>
    <w:lvl w:ilvl="3" w:tplc="8ABCF0E6">
      <w:start w:val="1"/>
      <w:numFmt w:val="bullet"/>
      <w:lvlText w:val="●"/>
      <w:lvlJc w:val="left"/>
      <w:pPr>
        <w:ind w:left="2880" w:hanging="360"/>
      </w:pPr>
    </w:lvl>
    <w:lvl w:ilvl="4" w:tplc="7164AC18">
      <w:start w:val="1"/>
      <w:numFmt w:val="bullet"/>
      <w:lvlText w:val="○"/>
      <w:lvlJc w:val="left"/>
      <w:pPr>
        <w:ind w:left="3600" w:hanging="360"/>
      </w:pPr>
    </w:lvl>
    <w:lvl w:ilvl="5" w:tplc="9560322C">
      <w:start w:val="1"/>
      <w:numFmt w:val="bullet"/>
      <w:lvlText w:val="■"/>
      <w:lvlJc w:val="left"/>
      <w:pPr>
        <w:ind w:left="4320" w:hanging="360"/>
      </w:pPr>
    </w:lvl>
    <w:lvl w:ilvl="6" w:tplc="3A1CC25A">
      <w:start w:val="1"/>
      <w:numFmt w:val="bullet"/>
      <w:lvlText w:val="●"/>
      <w:lvlJc w:val="left"/>
      <w:pPr>
        <w:ind w:left="5040" w:hanging="360"/>
      </w:pPr>
    </w:lvl>
    <w:lvl w:ilvl="7" w:tplc="9E548154">
      <w:start w:val="1"/>
      <w:numFmt w:val="bullet"/>
      <w:lvlText w:val="●"/>
      <w:lvlJc w:val="left"/>
      <w:pPr>
        <w:ind w:left="5760" w:hanging="360"/>
      </w:pPr>
    </w:lvl>
    <w:lvl w:ilvl="8" w:tplc="0D98ECDC">
      <w:start w:val="1"/>
      <w:numFmt w:val="bullet"/>
      <w:lvlText w:val="●"/>
      <w:lvlJc w:val="left"/>
      <w:pPr>
        <w:ind w:left="6480" w:hanging="360"/>
      </w:pPr>
    </w:lvl>
  </w:abstractNum>
  <w:num w:numId="1" w16cid:durableId="1313944892">
    <w:abstractNumId w:val="1"/>
    <w:lvlOverride w:ilvl="0">
      <w:startOverride w:val="1"/>
    </w:lvlOverride>
  </w:num>
  <w:num w:numId="2" w16cid:durableId="7521202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1BF"/>
    <w:rsid w:val="005A6AD6"/>
    <w:rsid w:val="005E79F0"/>
    <w:rsid w:val="00685A27"/>
    <w:rsid w:val="008F3FD5"/>
    <w:rsid w:val="00A175E6"/>
    <w:rsid w:val="00A32944"/>
    <w:rsid w:val="00E835CC"/>
    <w:rsid w:val="00F121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07D8575"/>
  <w15:docId w15:val="{16D9B11B-0D7E-9F43-8174-C153E2885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rFonts w:eastAsia="Calibri"/>
      <w:b/>
      <w:bCs/>
      <w:color w:val="1F3864"/>
      <w:sz w:val="30"/>
      <w:szCs w:val="30"/>
    </w:rPr>
  </w:style>
  <w:style w:type="paragraph" w:styleId="2">
    <w:name w:val="heading 2"/>
    <w:uiPriority w:val="9"/>
    <w:unhideWhenUsed/>
    <w:qFormat/>
    <w:pPr>
      <w:spacing w:before="240" w:after="120"/>
      <w:outlineLvl w:val="1"/>
    </w:pPr>
    <w:rPr>
      <w:rFonts w:eastAsia="Calibri"/>
      <w:b/>
      <w:bCs/>
      <w:color w:val="2E75B6"/>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2204</Words>
  <Characters>12566</Characters>
  <Application>Microsoft Office Word</Application>
  <DocSecurity>0</DocSecurity>
  <Lines>104</Lines>
  <Paragraphs>29</Paragraphs>
  <ScaleCrop>false</ScaleCrop>
  <Company/>
  <LinksUpToDate>false</LinksUpToDate>
  <CharactersWithSpaces>14741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Reflective Report — E-commerce Sales Dashboard</dc:title>
  <dc:creator>Author</dc:creator>
  <cp:lastModifiedBy>禹桐 孙</cp:lastModifiedBy>
  <cp:revision>3</cp:revision>
  <dcterms:created xsi:type="dcterms:W3CDTF">2026-04-25T11:30:00Z</dcterms:created>
  <dcterms:modified xsi:type="dcterms:W3CDTF">2026-04-25T11:31:00Z</dcterms:modified>
</cp:coreProperties>
</file>