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268"/>
        <w:gridCol w:w="2268"/>
        <w:gridCol w:w="2268"/>
        <w:gridCol w:w="2268"/>
      </w:tblGrid>
      <w:tr>
        <w:tc>
          <w:tcPr>
            <w:tcW w:type="dxa" w:w="1247"/>
            <w:gridSpan w:val="4"/>
          </w:tcPr>
          <w:p>
            <w:pPr>
              <w:spacing w:line="360" w:lineRule="exact"/>
              <w:jc w:val="center"/>
            </w:pPr>
            <w:r/>
            <w:r>
              <w:rPr>
                <w:rFonts w:ascii="Times New Roman" w:hAnsi="Times New Roman" w:eastAsia="標楷體"/>
                <w:b/>
                <w:sz w:val="28"/>
              </w:rPr>
              <w:t>國立高雄科技大學_金屬中心_週報</w:t>
            </w:r>
          </w:p>
        </w:tc>
      </w:tr>
      <w:tr>
        <w:tc>
          <w:tcPr>
            <w:tcW w:type="dxa" w:w="1247"/>
          </w:tcPr>
          <w:p>
            <w:pPr>
              <w:spacing w:line="360" w:lineRule="exact"/>
              <w:jc w:val="center"/>
            </w:pPr>
            <w:r/>
            <w:r>
              <w:rPr>
                <w:rFonts w:ascii="Times New Roman" w:hAnsi="Times New Roman" w:eastAsia="標楷體"/>
                <w:b w:val="0"/>
                <w:sz w:val="24"/>
              </w:rPr>
              <w:t>時間</w:t>
            </w:r>
          </w:p>
        </w:tc>
        <w:tc>
          <w:tcPr>
            <w:tcW w:type="dxa" w:w="2268"/>
          </w:tcPr>
          <w:p>
            <w:pPr>
              <w:spacing w:line="360" w:lineRule="exact"/>
              <w:jc w:val="center"/>
            </w:pPr>
            <w:r/>
            <w:r>
              <w:rPr>
                <w:rFonts w:ascii="Times New Roman" w:hAnsi="Times New Roman" w:eastAsia="標楷體"/>
                <w:b w:val="0"/>
                <w:sz w:val="24"/>
              </w:rPr>
              <w:t>2026/08/06 – 2026/08/12</w:t>
            </w:r>
          </w:p>
        </w:tc>
        <w:tc>
          <w:tcPr>
            <w:tcW w:type="dxa" w:w="2268"/>
          </w:tcPr>
          <w:p>
            <w:pPr>
              <w:spacing w:line="360" w:lineRule="exact"/>
              <w:jc w:val="center"/>
            </w:pPr>
            <w:r/>
            <w:r>
              <w:rPr>
                <w:rFonts w:ascii="Times New Roman" w:hAnsi="Times New Roman" w:eastAsia="標楷體"/>
                <w:b w:val="0"/>
                <w:sz w:val="24"/>
              </w:rPr>
              <w:t>學生</w:t>
            </w:r>
          </w:p>
        </w:tc>
        <w:tc>
          <w:tcPr>
            <w:tcW w:type="dxa" w:w="2268"/>
          </w:tcPr>
          <w:p>
            <w:pPr>
              <w:spacing w:line="360" w:lineRule="exact"/>
              <w:jc w:val="center"/>
            </w:pPr>
            <w:r/>
            <w:r>
              <w:rPr>
                <w:rFonts w:ascii="Times New Roman" w:hAnsi="Times New Roman" w:eastAsia="標楷體"/>
                <w:b w:val="0"/>
                <w:sz w:val="24"/>
              </w:rPr>
              <w:t>李承育</w:t>
            </w:r>
          </w:p>
        </w:tc>
      </w:tr>
      <w:tr>
        <w:tc>
          <w:tcPr>
            <w:tcW w:type="dxa" w:w="1247"/>
          </w:tcPr>
          <w:p>
            <w:pPr>
              <w:spacing w:line="360" w:lineRule="exact"/>
              <w:jc w:val="center"/>
            </w:pPr>
            <w:r/>
            <w:r>
              <w:rPr>
                <w:rFonts w:ascii="Times New Roman" w:hAnsi="Times New Roman" w:eastAsia="標楷體"/>
                <w:b w:val="0"/>
                <w:sz w:val="24"/>
              </w:rPr>
              <w:t>地點</w:t>
            </w:r>
          </w:p>
        </w:tc>
        <w:tc>
          <w:tcPr>
            <w:tcW w:type="dxa" w:w="6804"/>
            <w:gridSpan w:val="3"/>
          </w:tcPr>
          <w:p>
            <w:pPr>
              <w:spacing w:line="360" w:lineRule="exact"/>
              <w:jc w:val="center"/>
            </w:pPr>
            <w:r/>
            <w:r>
              <w:rPr>
                <w:rFonts w:ascii="Times New Roman" w:hAnsi="Times New Roman" w:eastAsia="標楷體"/>
                <w:b w:val="0"/>
                <w:sz w:val="24"/>
              </w:rPr>
              <w:t>金屬中心（歷史資料分析、方法驗證與論文撰寫）</w:t>
            </w:r>
          </w:p>
        </w:tc>
      </w:tr>
      <w:tr>
        <w:tc>
          <w:tcPr>
            <w:tcW w:type="dxa" w:w="1247"/>
            <w:gridSpan w:val="4"/>
          </w:tcPr>
          <w:p>
            <w:pPr>
              <w:spacing w:line="360" w:lineRule="exact"/>
              <w:jc w:val="center"/>
            </w:pPr>
            <w:r/>
            <w:r>
              <w:rPr>
                <w:rFonts w:ascii="Times New Roman" w:hAnsi="Times New Roman" w:eastAsia="標楷體"/>
                <w:b w:val="0"/>
                <w:sz w:val="24"/>
              </w:rPr>
              <w:t>內容與過程註記</w:t>
            </w:r>
          </w:p>
        </w:tc>
      </w:tr>
    </w:tbl>
    <w:p>
      <w:pPr>
        <w:spacing w:before="0" w:after="0" w:line="400" w:lineRule="exact"/>
        <w:ind w:left="0"/>
      </w:pPr>
    </w:p>
    <w:p>
      <w:pPr>
        <w:spacing w:before="0" w:after="80" w:line="400" w:lineRule="exact"/>
        <w:ind w:left="0"/>
      </w:pPr>
      <w:r>
        <w:rPr>
          <w:rFonts w:ascii="Times New Roman" w:hAnsi="Times New Roman" w:eastAsia="標楷體"/>
          <w:b/>
          <w:sz w:val="24"/>
        </w:rPr>
        <w:t>執行項目</w:t>
      </w:r>
    </w:p>
    <w:p>
      <w:pPr>
        <w:spacing w:before="0" w:after="40" w:line="400" w:lineRule="exact"/>
        <w:ind w:left="454"/>
      </w:pPr>
      <w:r>
        <w:rPr>
          <w:rFonts w:ascii="Times New Roman" w:hAnsi="Times New Roman" w:eastAsia="標楷體"/>
          <w:b w:val="0"/>
          <w:sz w:val="24"/>
        </w:rPr>
        <w:t>一、簡併判讀由「假設函數形式」改為「反解依賴強度」</w:t>
      </w:r>
    </w:p>
    <w:p>
      <w:pPr>
        <w:spacing w:before="0" w:after="40" w:line="400" w:lineRule="exact"/>
        <w:ind w:left="454"/>
      </w:pPr>
      <w:r>
        <w:rPr>
          <w:rFonts w:ascii="Times New Roman" w:hAnsi="Times New Roman" w:eastAsia="標楷體"/>
          <w:b w:val="0"/>
          <w:sz w:val="24"/>
        </w:rPr>
        <w:t>二、估計偏誤之量化與修正，生物速率定版</w:t>
      </w:r>
    </w:p>
    <w:p>
      <w:pPr>
        <w:spacing w:before="0" w:after="40" w:line="400" w:lineRule="exact"/>
        <w:ind w:left="454"/>
      </w:pPr>
      <w:r>
        <w:rPr>
          <w:rFonts w:ascii="Times New Roman" w:hAnsi="Times New Roman" w:eastAsia="標楷體"/>
          <w:b w:val="0"/>
          <w:sz w:val="24"/>
        </w:rPr>
        <w:t>三、不確定度之分項合成（抽樣誤差與系統誤差）</w:t>
      </w:r>
    </w:p>
    <w:p>
      <w:pPr>
        <w:spacing w:before="0" w:after="40" w:line="400" w:lineRule="exact"/>
        <w:ind w:left="454"/>
      </w:pPr>
      <w:r>
        <w:rPr>
          <w:rFonts w:ascii="Times New Roman" w:hAnsi="Times New Roman" w:eastAsia="標楷體"/>
          <w:b w:val="0"/>
          <w:sz w:val="24"/>
        </w:rPr>
        <w:t>四、指導教授六項審閱意見之處置</w:t>
      </w:r>
    </w:p>
    <w:p>
      <w:pPr>
        <w:spacing w:before="0" w:after="40" w:line="400" w:lineRule="exact"/>
        <w:ind w:left="454"/>
      </w:pPr>
      <w:r>
        <w:rPr>
          <w:rFonts w:ascii="Times New Roman" w:hAnsi="Times New Roman" w:eastAsia="標楷體"/>
          <w:b w:val="0"/>
          <w:sz w:val="24"/>
        </w:rPr>
        <w:t>五、微正壓循環控制系統設備架構圖之繪製</w:t>
      </w:r>
    </w:p>
    <w:p>
      <w:pPr>
        <w:spacing w:before="0" w:after="40" w:line="400" w:lineRule="exact"/>
        <w:ind w:left="454"/>
      </w:pPr>
      <w:r>
        <w:rPr>
          <w:rFonts w:ascii="Times New Roman" w:hAnsi="Times New Roman" w:eastAsia="標楷體"/>
          <w:b w:val="0"/>
          <w:sz w:val="24"/>
        </w:rPr>
        <w:t>六、近年文獻查證與補充（Crossref 逐筆核對）</w:t>
      </w:r>
    </w:p>
    <w:p>
      <w:pPr>
        <w:spacing w:before="0" w:after="40" w:line="400" w:lineRule="exact"/>
        <w:ind w:left="454"/>
      </w:pPr>
      <w:r>
        <w:rPr>
          <w:rFonts w:ascii="Times New Roman" w:hAnsi="Times New Roman" w:eastAsia="標楷體"/>
          <w:b w:val="0"/>
          <w:sz w:val="24"/>
        </w:rPr>
        <w:t>七、交付物產生流程之缺陷修復與稽核工具建置</w:t>
      </w:r>
    </w:p>
    <w:p>
      <w:pPr>
        <w:spacing w:before="160" w:after="80" w:line="400" w:lineRule="exact"/>
        <w:ind w:left="0"/>
      </w:pPr>
      <w:r>
        <w:rPr>
          <w:rFonts w:ascii="Times New Roman" w:hAnsi="Times New Roman" w:eastAsia="標楷體"/>
          <w:b/>
          <w:sz w:val="24"/>
        </w:rPr>
        <w:t>執行內容如下所示：</w:t>
      </w:r>
    </w:p>
    <w:p>
      <w:pPr>
        <w:spacing w:before="200" w:after="80" w:line="400" w:lineRule="exact"/>
        <w:ind w:left="0"/>
      </w:pPr>
      <w:r>
        <w:rPr>
          <w:rFonts w:ascii="Times New Roman" w:hAnsi="Times New Roman" w:eastAsia="標楷體"/>
          <w:b/>
          <w:sz w:val="24"/>
        </w:rPr>
        <w:t>1. 簡併判讀由「假設函數形式」改為「反解依賴強度」</w:t>
      </w:r>
    </w:p>
    <w:p>
      <w:pPr>
        <w:spacing w:before="0" w:after="80" w:line="400" w:lineRule="exact"/>
        <w:ind w:left="454"/>
      </w:pPr>
      <w:r>
        <w:rPr>
          <w:rFonts w:ascii="Times New Roman" w:hAnsi="Times New Roman" w:eastAsia="標楷體"/>
          <w:b w:val="0"/>
          <w:sz w:val="24"/>
        </w:rPr>
        <w:t>前次週期建立之配對基準中，B2（生物速率隨鬆弛常數上升）之斜率係由實測之 (r̂b, k̂) 配對迴歸取得，而 ρ(r̂b, k̂) 正是待解釋之量；以被解釋量所導出之參數回代為真值，相關係數必然偏高，故 B2 原得之 ρ = 0.797 不構成證據。</w:t>
      </w:r>
    </w:p>
    <w:p>
      <w:pPr>
        <w:spacing w:before="0" w:after="80" w:line="400" w:lineRule="exact"/>
        <w:ind w:left="454"/>
      </w:pPr>
      <w:r>
        <w:rPr>
          <w:rFonts w:ascii="Times New Roman" w:hAnsi="Times New Roman" w:eastAsia="標楷體"/>
          <w:b w:val="0"/>
          <w:sz w:val="24"/>
        </w:rPr>
        <w:t>本週改以間接推論之標準作法處理：將真值參數化為冪次形式 rb(k) = rb⁰ · (k/k_med)^β，掃描 β 並於每個 β 執行完整配對管線，取得校準曲線 ρ(β)（edge_backend/degeneracy_invert.py）。</w:t>
      </w:r>
    </w:p>
    <w:p>
      <w:pPr>
        <w:spacing w:before="0" w:after="80" w:line="400" w:lineRule="exact"/>
        <w:ind w:left="454"/>
      </w:pPr>
      <w:r>
        <w:rPr>
          <w:rFonts w:ascii="Times New Roman" w:hAnsi="Times New Roman" w:eastAsia="標楷體"/>
          <w:b w:val="0"/>
          <w:sz w:val="24"/>
        </w:rPr>
        <w:t>採冪次形式之理由有二：其一，rb 恆為正，可避免原線性 log k 形式導出負值（生物製造壓力）之非物理結果；其二，中位數對任意 β 均等於 rb⁰，不同 β 之「投入真值中位數」可直接比較，偏誤方具意義。</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24"/>
        <w:gridCol w:w="3024"/>
        <w:gridCol w:w="3024"/>
      </w:tblGrid>
      <w:tr>
        <w:tc>
          <w:tcPr>
            <w:tcW w:type="dxa" w:w="2608"/>
          </w:tcPr>
          <w:p>
            <w:pPr>
              <w:spacing w:line="360" w:lineRule="exact"/>
              <w:jc w:val="center"/>
            </w:pPr>
            <w:r/>
            <w:r>
              <w:rPr>
                <w:rFonts w:ascii="Times New Roman" w:hAnsi="Times New Roman" w:eastAsia="標楷體"/>
                <w:b/>
                <w:sz w:val="22"/>
              </w:rPr>
              <w:t>β</w:t>
            </w:r>
          </w:p>
        </w:tc>
        <w:tc>
          <w:tcPr>
            <w:tcW w:type="dxa" w:w="1814"/>
          </w:tcPr>
          <w:p>
            <w:pPr>
              <w:spacing w:line="360" w:lineRule="exact"/>
              <w:jc w:val="center"/>
            </w:pPr>
            <w:r/>
            <w:r>
              <w:rPr>
                <w:rFonts w:ascii="Times New Roman" w:hAnsi="Times New Roman" w:eastAsia="標楷體"/>
                <w:b/>
                <w:sz w:val="22"/>
              </w:rPr>
              <w:t>ρ 均值</w:t>
            </w:r>
          </w:p>
        </w:tc>
        <w:tc>
          <w:tcPr>
            <w:tcW w:type="dxa" w:w="1814"/>
          </w:tcPr>
          <w:p>
            <w:pPr>
              <w:spacing w:line="360" w:lineRule="exact"/>
              <w:jc w:val="center"/>
            </w:pPr>
            <w:r/>
            <w:r>
              <w:rPr>
                <w:rFonts w:ascii="Times New Roman" w:hAnsi="Times New Roman" w:eastAsia="標楷體"/>
                <w:b/>
                <w:sz w:val="22"/>
              </w:rPr>
              <w:t>ρ 標準差</w:t>
            </w:r>
          </w:p>
        </w:tc>
      </w:tr>
      <w:tr>
        <w:tc>
          <w:tcPr>
            <w:tcW w:type="dxa" w:w="2608"/>
          </w:tcPr>
          <w:p>
            <w:pPr>
              <w:spacing w:line="360" w:lineRule="exact"/>
              <w:jc w:val="center"/>
            </w:pPr>
            <w:r/>
            <w:r>
              <w:rPr>
                <w:rFonts w:ascii="Times New Roman" w:hAnsi="Times New Roman" w:eastAsia="標楷體"/>
                <w:b w:val="0"/>
                <w:sz w:val="22"/>
              </w:rPr>
              <w:t>0.00（恆定真值）</w:t>
            </w:r>
          </w:p>
        </w:tc>
        <w:tc>
          <w:tcPr>
            <w:tcW w:type="dxa" w:w="1814"/>
          </w:tcPr>
          <w:p>
            <w:pPr>
              <w:spacing w:line="360" w:lineRule="exact"/>
              <w:jc w:val="center"/>
            </w:pPr>
            <w:r/>
            <w:r>
              <w:rPr>
                <w:rFonts w:ascii="Times New Roman" w:hAnsi="Times New Roman" w:eastAsia="標楷體"/>
                <w:b w:val="0"/>
                <w:sz w:val="22"/>
              </w:rPr>
              <w:t>0.278</w:t>
            </w:r>
          </w:p>
        </w:tc>
        <w:tc>
          <w:tcPr>
            <w:tcW w:type="dxa" w:w="1814"/>
          </w:tcPr>
          <w:p>
            <w:pPr>
              <w:spacing w:line="360" w:lineRule="exact"/>
              <w:jc w:val="center"/>
            </w:pPr>
            <w:r/>
            <w:r>
              <w:rPr>
                <w:rFonts w:ascii="Times New Roman" w:hAnsi="Times New Roman" w:eastAsia="標楷體"/>
                <w:b w:val="0"/>
                <w:sz w:val="22"/>
              </w:rPr>
              <w:t>0.056</w:t>
            </w:r>
          </w:p>
        </w:tc>
      </w:tr>
      <w:tr>
        <w:tc>
          <w:tcPr>
            <w:tcW w:type="dxa" w:w="2608"/>
          </w:tcPr>
          <w:p>
            <w:pPr>
              <w:spacing w:line="360" w:lineRule="exact"/>
              <w:jc w:val="center"/>
            </w:pPr>
            <w:r/>
            <w:r>
              <w:rPr>
                <w:rFonts w:ascii="Times New Roman" w:hAnsi="Times New Roman" w:eastAsia="標楷體"/>
                <w:b w:val="0"/>
                <w:sz w:val="22"/>
              </w:rPr>
              <w:t>0.30</w:t>
            </w:r>
          </w:p>
        </w:tc>
        <w:tc>
          <w:tcPr>
            <w:tcW w:type="dxa" w:w="1814"/>
          </w:tcPr>
          <w:p>
            <w:pPr>
              <w:spacing w:line="360" w:lineRule="exact"/>
              <w:jc w:val="center"/>
            </w:pPr>
            <w:r/>
            <w:r>
              <w:rPr>
                <w:rFonts w:ascii="Times New Roman" w:hAnsi="Times New Roman" w:eastAsia="標楷體"/>
                <w:b w:val="0"/>
                <w:sz w:val="22"/>
              </w:rPr>
              <w:t>0.724</w:t>
            </w:r>
          </w:p>
        </w:tc>
        <w:tc>
          <w:tcPr>
            <w:tcW w:type="dxa" w:w="1814"/>
          </w:tcPr>
          <w:p>
            <w:pPr>
              <w:spacing w:line="360" w:lineRule="exact"/>
              <w:jc w:val="center"/>
            </w:pPr>
            <w:r/>
            <w:r>
              <w:rPr>
                <w:rFonts w:ascii="Times New Roman" w:hAnsi="Times New Roman" w:eastAsia="標楷體"/>
                <w:b w:val="0"/>
                <w:sz w:val="22"/>
              </w:rPr>
              <w:t>0.033</w:t>
            </w:r>
          </w:p>
        </w:tc>
      </w:tr>
      <w:tr>
        <w:tc>
          <w:tcPr>
            <w:tcW w:type="dxa" w:w="2608"/>
          </w:tcPr>
          <w:p>
            <w:pPr>
              <w:spacing w:line="360" w:lineRule="exact"/>
              <w:jc w:val="center"/>
            </w:pPr>
            <w:r/>
            <w:r>
              <w:rPr>
                <w:rFonts w:ascii="Times New Roman" w:hAnsi="Times New Roman" w:eastAsia="標楷體"/>
                <w:b w:val="0"/>
                <w:sz w:val="22"/>
              </w:rPr>
              <w:t>0.80</w:t>
            </w:r>
          </w:p>
        </w:tc>
        <w:tc>
          <w:tcPr>
            <w:tcW w:type="dxa" w:w="1814"/>
          </w:tcPr>
          <w:p>
            <w:pPr>
              <w:spacing w:line="360" w:lineRule="exact"/>
              <w:jc w:val="center"/>
            </w:pPr>
            <w:r/>
            <w:r>
              <w:rPr>
                <w:rFonts w:ascii="Times New Roman" w:hAnsi="Times New Roman" w:eastAsia="標楷體"/>
                <w:b w:val="0"/>
                <w:sz w:val="22"/>
              </w:rPr>
              <w:t>0.760</w:t>
            </w:r>
          </w:p>
        </w:tc>
        <w:tc>
          <w:tcPr>
            <w:tcW w:type="dxa" w:w="1814"/>
          </w:tcPr>
          <w:p>
            <w:pPr>
              <w:spacing w:line="360" w:lineRule="exact"/>
              <w:jc w:val="center"/>
            </w:pPr>
            <w:r/>
            <w:r>
              <w:rPr>
                <w:rFonts w:ascii="Times New Roman" w:hAnsi="Times New Roman" w:eastAsia="標楷體"/>
                <w:b w:val="0"/>
                <w:sz w:val="22"/>
              </w:rPr>
              <w:t>0.030</w:t>
            </w:r>
          </w:p>
        </w:tc>
      </w:tr>
      <w:tr>
        <w:tc>
          <w:tcPr>
            <w:tcW w:type="dxa" w:w="2608"/>
          </w:tcPr>
          <w:p>
            <w:pPr>
              <w:spacing w:line="360" w:lineRule="exact"/>
              <w:jc w:val="center"/>
            </w:pPr>
            <w:r/>
            <w:r>
              <w:rPr>
                <w:rFonts w:ascii="Times New Roman" w:hAnsi="Times New Roman" w:eastAsia="標楷體"/>
                <w:b w:val="0"/>
                <w:sz w:val="22"/>
              </w:rPr>
              <w:t>實測</w:t>
            </w:r>
          </w:p>
        </w:tc>
        <w:tc>
          <w:tcPr>
            <w:tcW w:type="dxa" w:w="1814"/>
          </w:tcPr>
          <w:p>
            <w:pPr>
              <w:spacing w:line="360" w:lineRule="exact"/>
              <w:jc w:val="center"/>
            </w:pPr>
            <w:r/>
            <w:r>
              <w:rPr>
                <w:rFonts w:ascii="Times New Roman" w:hAnsi="Times New Roman" w:eastAsia="標楷體"/>
                <w:b w:val="0"/>
                <w:sz w:val="22"/>
              </w:rPr>
              <w:t>0.831</w:t>
            </w:r>
          </w:p>
        </w:tc>
        <w:tc>
          <w:tcPr>
            <w:tcW w:type="dxa" w:w="1814"/>
          </w:tcPr>
          <w:p>
            <w:pPr>
              <w:spacing w:line="360" w:lineRule="exact"/>
              <w:jc w:val="center"/>
            </w:pPr>
            <w:r/>
            <w:r>
              <w:rPr>
                <w:rFonts w:ascii="Times New Roman" w:hAnsi="Times New Roman" w:eastAsia="標楷體"/>
                <w:b w:val="0"/>
                <w:sz w:val="22"/>
              </w:rPr>
              <w:t>—</w:t>
            </w:r>
          </w:p>
        </w:tc>
      </w:tr>
    </w:tbl>
    <w:p>
      <w:pPr>
        <w:spacing w:before="0" w:after="0" w:line="400" w:lineRule="exact"/>
        <w:ind w:left="0"/>
      </w:pPr>
    </w:p>
    <w:p>
      <w:pPr>
        <w:spacing w:before="0" w:after="80" w:line="400" w:lineRule="exact"/>
        <w:ind w:left="454"/>
      </w:pPr>
      <w:r>
        <w:rPr>
          <w:rFonts w:ascii="Times New Roman" w:hAnsi="Times New Roman" w:eastAsia="標楷體"/>
          <w:b w:val="0"/>
          <w:sz w:val="24"/>
        </w:rPr>
        <w:t>恆定真值僅產生 ρ = 0.278，與實測相差約十個標準差，恆定生物速率之假設被排除。β 介於 0.20 至 0.80 者於校準散布內可重現實測相關，此集合為後續修正之依據。</w:t>
      </w:r>
    </w:p>
    <w:p>
      <w:pPr>
        <w:spacing w:before="200" w:after="80" w:line="400" w:lineRule="exact"/>
        <w:ind w:left="0"/>
      </w:pPr>
      <w:r>
        <w:rPr>
          <w:rFonts w:ascii="Times New Roman" w:hAnsi="Times New Roman" w:eastAsia="標楷體"/>
          <w:b/>
          <w:sz w:val="24"/>
        </w:rPr>
        <w:t>2. 估計偏誤之量化與修正，生物速率定版</w:t>
      </w:r>
    </w:p>
    <w:p>
      <w:pPr>
        <w:spacing w:before="0" w:after="80" w:line="400" w:lineRule="exact"/>
        <w:ind w:left="454"/>
      </w:pPr>
      <w:r>
        <w:rPr>
          <w:rFonts w:ascii="Times New Roman" w:hAnsi="Times New Roman" w:eastAsia="標楷體"/>
          <w:b w:val="0"/>
          <w:sz w:val="24"/>
        </w:rPr>
        <w:t>校準曲線之用途不應止於報告偏誤，而應據以修正估計值。於相容集合內，估計量對聚合中位數之高估為 +5.2 % 至 +14.0 %；同期計算之篩選效應（曲率門檻偏好高 k 循環）僅佔 −0.7 % 至 −3.9 %，不足以解釋該偏誤，故其餘部分為估計器本身之偏誤（edge_backend/rb_corrected.py）。</w:t>
      </w:r>
    </w:p>
    <w:p>
      <w:pPr>
        <w:spacing w:before="0" w:after="80" w:line="400" w:lineRule="exact"/>
        <w:ind w:left="454"/>
      </w:pPr>
      <w:r>
        <w:rPr>
          <w:rFonts w:ascii="Times New Roman" w:hAnsi="Times New Roman" w:eastAsia="標楷體"/>
          <w:b w:val="0"/>
          <w:sz w:val="24"/>
        </w:rPr>
        <w:t>反解後之定版結果為 rb = 0.0107 kg/cm²/hr，相對未修正之 0.0117 修正 −9.1 %。</w:t>
      </w:r>
    </w:p>
    <w:p>
      <w:pPr>
        <w:spacing w:before="0" w:after="80" w:line="400" w:lineRule="exact"/>
        <w:ind w:left="454"/>
      </w:pPr>
      <w:r>
        <w:rPr>
          <w:rFonts w:ascii="Times New Roman" w:hAnsi="Times New Roman" w:eastAsia="標楷體"/>
          <w:b w:val="0"/>
          <w:sz w:val="24"/>
        </w:rPr>
        <w:t>容差取 2.0 σ 時相容集合僅餘 β = 0.40／0.50／0.65 三點，精度看似 ±1.5 %；惟 β = 0.20／0.25／0.80 係以 2.1–2.4 σ 落選，門檻略調集合即改變，該精度係網格運氣而非方法能力，故改採 2.5 σ，相容集合 β 介於 0.20 至 0.80。</w:t>
      </w:r>
    </w:p>
    <w:p>
      <w:pPr>
        <w:spacing w:before="200" w:after="80" w:line="400" w:lineRule="exact"/>
        <w:ind w:left="0"/>
      </w:pPr>
      <w:r>
        <w:rPr>
          <w:rFonts w:ascii="Times New Roman" w:hAnsi="Times New Roman" w:eastAsia="標楷體"/>
          <w:b/>
          <w:sz w:val="24"/>
        </w:rPr>
        <w:t>3. 不確定度之分項合成</w:t>
      </w:r>
    </w:p>
    <w:p>
      <w:pPr>
        <w:spacing w:before="0" w:after="80" w:line="400" w:lineRule="exact"/>
        <w:ind w:left="454"/>
      </w:pPr>
      <w:r>
        <w:rPr>
          <w:rFonts w:ascii="Times New Roman" w:hAnsi="Times New Roman" w:eastAsia="標楷體"/>
          <w:b w:val="0"/>
          <w:sz w:val="24"/>
        </w:rPr>
        <w:t>前項之 ±4.0 % 為跨相容真值族之散布，不含抽樣誤差，非信賴區間。本週另以 20,000 次拔靴法取得中位數之抽樣誤差，並以蒙地卡羅合成（修正為除法運算，不可逕用誤差傳遞加總）：</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24"/>
        <w:gridCol w:w="3024"/>
        <w:gridCol w:w="3024"/>
      </w:tblGrid>
      <w:tr>
        <w:tc>
          <w:tcPr>
            <w:tcW w:type="dxa" w:w="1361"/>
          </w:tcPr>
          <w:p>
            <w:pPr>
              <w:spacing w:line="360" w:lineRule="exact"/>
              <w:jc w:val="center"/>
            </w:pPr>
            <w:r/>
            <w:r>
              <w:rPr>
                <w:rFonts w:ascii="Times New Roman" w:hAnsi="Times New Roman" w:eastAsia="標楷體"/>
                <w:b/>
                <w:sz w:val="22"/>
              </w:rPr>
              <w:t>來源</w:t>
            </w:r>
          </w:p>
        </w:tc>
        <w:tc>
          <w:tcPr>
            <w:tcW w:type="dxa" w:w="1361"/>
          </w:tcPr>
          <w:p>
            <w:pPr>
              <w:spacing w:line="360" w:lineRule="exact"/>
              <w:jc w:val="center"/>
            </w:pPr>
            <w:r/>
            <w:r>
              <w:rPr>
                <w:rFonts w:ascii="Times New Roman" w:hAnsi="Times New Roman" w:eastAsia="標楷體"/>
                <w:b/>
                <w:sz w:val="22"/>
              </w:rPr>
              <w:t>大小</w:t>
            </w:r>
          </w:p>
        </w:tc>
        <w:tc>
          <w:tcPr>
            <w:tcW w:type="dxa" w:w="4649"/>
          </w:tcPr>
          <w:p>
            <w:pPr>
              <w:spacing w:line="360" w:lineRule="exact"/>
              <w:jc w:val="center"/>
            </w:pPr>
            <w:r/>
            <w:r>
              <w:rPr>
                <w:rFonts w:ascii="Times New Roman" w:hAnsi="Times New Roman" w:eastAsia="標楷體"/>
                <w:b/>
                <w:sz w:val="22"/>
              </w:rPr>
              <w:t>性質</w:t>
            </w:r>
          </w:p>
        </w:tc>
      </w:tr>
      <w:tr>
        <w:tc>
          <w:tcPr>
            <w:tcW w:type="dxa" w:w="1361"/>
          </w:tcPr>
          <w:p>
            <w:pPr>
              <w:spacing w:line="360" w:lineRule="exact"/>
              <w:jc w:val="center"/>
            </w:pPr>
            <w:r/>
            <w:r>
              <w:rPr>
                <w:rFonts w:ascii="Times New Roman" w:hAnsi="Times New Roman" w:eastAsia="標楷體"/>
                <w:b w:val="0"/>
                <w:sz w:val="22"/>
              </w:rPr>
              <w:t>抽樣誤差</w:t>
            </w:r>
          </w:p>
        </w:tc>
        <w:tc>
          <w:tcPr>
            <w:tcW w:type="dxa" w:w="1361"/>
          </w:tcPr>
          <w:p>
            <w:pPr>
              <w:spacing w:line="360" w:lineRule="exact"/>
              <w:jc w:val="center"/>
            </w:pPr>
            <w:r/>
            <w:r>
              <w:rPr>
                <w:rFonts w:ascii="Times New Roman" w:hAnsi="Times New Roman" w:eastAsia="標楷體"/>
                <w:b w:val="0"/>
                <w:sz w:val="22"/>
              </w:rPr>
              <w:t>± 2.8 %</w:t>
            </w:r>
          </w:p>
        </w:tc>
        <w:tc>
          <w:tcPr>
            <w:tcW w:type="dxa" w:w="4649"/>
          </w:tcPr>
          <w:p>
            <w:pPr>
              <w:spacing w:line="360" w:lineRule="exact"/>
            </w:pPr>
            <w:r/>
            <w:r>
              <w:rPr>
                <w:rFonts w:ascii="Times New Roman" w:hAnsi="Times New Roman" w:eastAsia="標楷體"/>
                <w:b w:val="0"/>
                <w:sz w:val="22"/>
              </w:rPr>
              <w:t>拔靴法，301 個循環；隨紀錄延長而收斂</w:t>
            </w:r>
          </w:p>
        </w:tc>
      </w:tr>
      <w:tr>
        <w:tc>
          <w:tcPr>
            <w:tcW w:type="dxa" w:w="1361"/>
          </w:tcPr>
          <w:p>
            <w:pPr>
              <w:spacing w:line="360" w:lineRule="exact"/>
              <w:jc w:val="center"/>
            </w:pPr>
            <w:r/>
            <w:r>
              <w:rPr>
                <w:rFonts w:ascii="Times New Roman" w:hAnsi="Times New Roman" w:eastAsia="標楷體"/>
                <w:b w:val="0"/>
                <w:sz w:val="22"/>
              </w:rPr>
              <w:t>系統誤差</w:t>
            </w:r>
          </w:p>
        </w:tc>
        <w:tc>
          <w:tcPr>
            <w:tcW w:type="dxa" w:w="1361"/>
          </w:tcPr>
          <w:p>
            <w:pPr>
              <w:spacing w:line="360" w:lineRule="exact"/>
              <w:jc w:val="center"/>
            </w:pPr>
            <w:r/>
            <w:r>
              <w:rPr>
                <w:rFonts w:ascii="Times New Roman" w:hAnsi="Times New Roman" w:eastAsia="標楷體"/>
                <w:b w:val="0"/>
                <w:sz w:val="22"/>
              </w:rPr>
              <w:t>± 4.0 %</w:t>
            </w:r>
          </w:p>
        </w:tc>
        <w:tc>
          <w:tcPr>
            <w:tcW w:type="dxa" w:w="4649"/>
          </w:tcPr>
          <w:p>
            <w:pPr>
              <w:spacing w:line="360" w:lineRule="exact"/>
              <w:jc w:val="center"/>
            </w:pPr>
            <w:r/>
            <w:r>
              <w:rPr>
                <w:rFonts w:ascii="Times New Roman" w:hAnsi="Times New Roman" w:eastAsia="標楷體"/>
                <w:b w:val="0"/>
                <w:sz w:val="22"/>
              </w:rPr>
              <w:t>跨相容真值族；不隨樣本數改變</w:t>
            </w:r>
          </w:p>
        </w:tc>
      </w:tr>
      <w:tr>
        <w:tc>
          <w:tcPr>
            <w:tcW w:type="dxa" w:w="1361"/>
          </w:tcPr>
          <w:p>
            <w:pPr>
              <w:spacing w:line="360" w:lineRule="exact"/>
              <w:jc w:val="center"/>
            </w:pPr>
            <w:r/>
            <w:r>
              <w:rPr>
                <w:rFonts w:ascii="Times New Roman" w:hAnsi="Times New Roman" w:eastAsia="標楷體"/>
                <w:b w:val="0"/>
                <w:sz w:val="22"/>
              </w:rPr>
              <w:t>合成</w:t>
            </w:r>
          </w:p>
        </w:tc>
        <w:tc>
          <w:tcPr>
            <w:tcW w:type="dxa" w:w="1361"/>
          </w:tcPr>
          <w:p>
            <w:pPr>
              <w:spacing w:line="360" w:lineRule="exact"/>
              <w:jc w:val="center"/>
            </w:pPr>
            <w:r/>
            <w:r>
              <w:rPr>
                <w:rFonts w:ascii="Times New Roman" w:hAnsi="Times New Roman" w:eastAsia="標楷體"/>
                <w:b w:val="0"/>
                <w:sz w:val="22"/>
              </w:rPr>
              <w:t>± 7.6 %</w:t>
            </w:r>
          </w:p>
        </w:tc>
        <w:tc>
          <w:tcPr>
            <w:tcW w:type="dxa" w:w="4649"/>
          </w:tcPr>
          <w:p>
            <w:pPr>
              <w:spacing w:line="360" w:lineRule="exact"/>
            </w:pPr>
            <w:r/>
            <w:r>
              <w:rPr>
                <w:rFonts w:ascii="Times New Roman" w:hAnsi="Times New Roman" w:eastAsia="標楷體"/>
                <w:b w:val="0"/>
                <w:sz w:val="22"/>
              </w:rPr>
              <w:t>95 % 區間 0.0100 至 0.0116 kg/cm²/hr</w:t>
            </w:r>
          </w:p>
        </w:tc>
      </w:tr>
    </w:tbl>
    <w:p>
      <w:pPr>
        <w:spacing w:before="0" w:after="0" w:line="400" w:lineRule="exact"/>
        <w:ind w:left="0"/>
      </w:pPr>
    </w:p>
    <w:p>
      <w:pPr>
        <w:spacing w:before="0" w:after="80" w:line="400" w:lineRule="exact"/>
        <w:ind w:left="454"/>
      </w:pPr>
      <w:r>
        <w:rPr>
          <w:rFonts w:ascii="Times New Roman" w:hAnsi="Times New Roman" w:eastAsia="標楷體"/>
          <w:b w:val="0"/>
          <w:sz w:val="24"/>
        </w:rPr>
        <w:t>分項報告之理由為兩者可改善性不同：延長量測僅能壓縮前者，欲收窄後者須取得 rb(k) 之形式，單一壓力通道無法提供。</w:t>
      </w:r>
    </w:p>
    <w:p>
      <w:pPr>
        <w:spacing w:before="200" w:after="80" w:line="400" w:lineRule="exact"/>
        <w:ind w:left="0"/>
      </w:pPr>
      <w:r>
        <w:rPr>
          <w:rFonts w:ascii="Times New Roman" w:hAnsi="Times New Roman" w:eastAsia="標楷體"/>
          <w:b/>
          <w:sz w:val="24"/>
        </w:rPr>
        <w:t>4. 指導教授六項審閱意見之處置</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536"/>
        <w:gridCol w:w="4536"/>
      </w:tblGrid>
      <w:tr>
        <w:tc>
          <w:tcPr>
            <w:tcW w:type="dxa" w:w="2381"/>
          </w:tcPr>
          <w:p>
            <w:pPr>
              <w:spacing w:line="360" w:lineRule="exact"/>
              <w:jc w:val="center"/>
            </w:pPr>
            <w:r/>
            <w:r>
              <w:rPr>
                <w:rFonts w:ascii="Times New Roman" w:hAnsi="Times New Roman" w:eastAsia="標楷體"/>
                <w:b/>
                <w:sz w:val="22"/>
              </w:rPr>
              <w:t>意見</w:t>
            </w:r>
          </w:p>
        </w:tc>
        <w:tc>
          <w:tcPr>
            <w:tcW w:type="dxa" w:w="4989"/>
          </w:tcPr>
          <w:p>
            <w:pPr>
              <w:spacing w:line="360" w:lineRule="exact"/>
              <w:jc w:val="center"/>
            </w:pPr>
            <w:r/>
            <w:r>
              <w:rPr>
                <w:rFonts w:ascii="Times New Roman" w:hAnsi="Times New Roman" w:eastAsia="標楷體"/>
                <w:b/>
                <w:sz w:val="22"/>
              </w:rPr>
              <w:t>處置</w:t>
            </w:r>
          </w:p>
        </w:tc>
      </w:tr>
      <w:tr>
        <w:tc>
          <w:tcPr>
            <w:tcW w:type="dxa" w:w="2381"/>
          </w:tcPr>
          <w:p>
            <w:pPr>
              <w:spacing w:line="360" w:lineRule="exact"/>
              <w:jc w:val="center"/>
            </w:pPr>
            <w:r/>
            <w:r>
              <w:rPr>
                <w:rFonts w:ascii="Times New Roman" w:hAnsi="Times New Roman" w:eastAsia="標楷體"/>
                <w:b w:val="0"/>
                <w:sz w:val="22"/>
              </w:rPr>
              <w:t>摘要不得出現變數與公式</w:t>
            </w:r>
          </w:p>
        </w:tc>
        <w:tc>
          <w:tcPr>
            <w:tcW w:type="dxa" w:w="4989"/>
          </w:tcPr>
          <w:p>
            <w:pPr>
              <w:spacing w:line="360" w:lineRule="exact"/>
            </w:pPr>
            <w:r/>
            <w:r>
              <w:rPr>
                <w:rFonts w:ascii="Times New Roman" w:hAnsi="Times New Roman" w:eastAsia="標楷體"/>
                <w:b w:val="0"/>
                <w:sz w:val="22"/>
              </w:rPr>
              <w:t>改為「問題→方法→成果」之文字敘述；數值帶單位保留，符號一律移除</w:t>
            </w:r>
          </w:p>
        </w:tc>
      </w:tr>
      <w:tr>
        <w:tc>
          <w:tcPr>
            <w:tcW w:type="dxa" w:w="2381"/>
          </w:tcPr>
          <w:p>
            <w:pPr>
              <w:spacing w:line="360" w:lineRule="exact"/>
              <w:jc w:val="center"/>
            </w:pPr>
            <w:r/>
            <w:r>
              <w:rPr>
                <w:rFonts w:ascii="Times New Roman" w:hAnsi="Times New Roman" w:eastAsia="標楷體"/>
                <w:b w:val="0"/>
                <w:sz w:val="22"/>
              </w:rPr>
              <w:t>文獻偏舊</w:t>
            </w:r>
          </w:p>
        </w:tc>
        <w:tc>
          <w:tcPr>
            <w:tcW w:type="dxa" w:w="4989"/>
          </w:tcPr>
          <w:p>
            <w:pPr>
              <w:spacing w:line="360" w:lineRule="exact"/>
            </w:pPr>
            <w:r/>
            <w:r>
              <w:rPr>
                <w:rFonts w:ascii="Times New Roman" w:hAnsi="Times New Roman" w:eastAsia="標楷體"/>
                <w:b w:val="0"/>
                <w:sz w:val="22"/>
              </w:rPr>
              <w:t>補入四筆 2023–2026 年文獻，詳見第六項</w:t>
            </w:r>
          </w:p>
        </w:tc>
      </w:tr>
      <w:tr>
        <w:tc>
          <w:tcPr>
            <w:tcW w:type="dxa" w:w="2381"/>
          </w:tcPr>
          <w:p>
            <w:pPr>
              <w:spacing w:line="360" w:lineRule="exact"/>
              <w:jc w:val="center"/>
            </w:pPr>
            <w:r/>
            <w:r>
              <w:rPr>
                <w:rFonts w:ascii="Times New Roman" w:hAnsi="Times New Roman" w:eastAsia="標楷體"/>
                <w:b w:val="0"/>
                <w:sz w:val="22"/>
              </w:rPr>
              <w:t>演算法依「目的」命名</w:t>
            </w:r>
          </w:p>
        </w:tc>
        <w:tc>
          <w:tcPr>
            <w:tcW w:type="dxa" w:w="4989"/>
          </w:tcPr>
          <w:p>
            <w:pPr>
              <w:spacing w:line="360" w:lineRule="exact"/>
            </w:pPr>
            <w:r/>
            <w:r>
              <w:rPr>
                <w:rFonts w:ascii="Times New Roman" w:hAnsi="Times New Roman" w:eastAsia="標楷體"/>
                <w:b w:val="0"/>
                <w:sz w:val="22"/>
              </w:rPr>
              <w:t>Extracting a Trustworthy Rate from One Cycle；Measuring and Removing the Degeneracy Bias；Ruling Out a Purely Physical Explanation；Endpoint-Trimming Robustness Check</w:t>
            </w:r>
          </w:p>
        </w:tc>
      </w:tr>
      <w:tr>
        <w:tc>
          <w:tcPr>
            <w:tcW w:type="dxa" w:w="2381"/>
          </w:tcPr>
          <w:p>
            <w:pPr>
              <w:spacing w:line="360" w:lineRule="exact"/>
              <w:jc w:val="center"/>
            </w:pPr>
            <w:r/>
            <w:r>
              <w:rPr>
                <w:rFonts w:ascii="Times New Roman" w:hAnsi="Times New Roman" w:eastAsia="標楷體"/>
                <w:b w:val="0"/>
                <w:sz w:val="22"/>
              </w:rPr>
              <w:t>先介紹實驗資料再述結果</w:t>
            </w:r>
          </w:p>
        </w:tc>
        <w:tc>
          <w:tcPr>
            <w:tcW w:type="dxa" w:w="4989"/>
          </w:tcPr>
          <w:p>
            <w:pPr>
              <w:spacing w:line="360" w:lineRule="exact"/>
            </w:pPr>
            <w:r/>
            <w:r>
              <w:rPr>
                <w:rFonts w:ascii="Times New Roman" w:hAnsi="Times New Roman" w:eastAsia="標楷體"/>
                <w:b w:val="0"/>
                <w:sz w:val="22"/>
              </w:rPr>
              <w:t>簡介改序為「裝置與資料 → 問題所在 → 技術困難 → 貢獻」</w:t>
            </w:r>
          </w:p>
        </w:tc>
      </w:tr>
      <w:tr>
        <w:tc>
          <w:tcPr>
            <w:tcW w:type="dxa" w:w="2381"/>
          </w:tcPr>
          <w:p>
            <w:pPr>
              <w:spacing w:line="360" w:lineRule="exact"/>
              <w:jc w:val="center"/>
            </w:pPr>
            <w:r/>
            <w:r>
              <w:rPr>
                <w:rFonts w:ascii="Times New Roman" w:hAnsi="Times New Roman" w:eastAsia="標楷體"/>
                <w:b w:val="0"/>
                <w:sz w:val="22"/>
              </w:rPr>
              <w:t>簡介應置設備圖</w:t>
            </w:r>
          </w:p>
        </w:tc>
        <w:tc>
          <w:tcPr>
            <w:tcW w:type="dxa" w:w="4989"/>
          </w:tcPr>
          <w:p>
            <w:pPr>
              <w:spacing w:line="360" w:lineRule="exact"/>
              <w:jc w:val="center"/>
            </w:pPr>
            <w:r/>
            <w:r>
              <w:rPr>
                <w:rFonts w:ascii="Times New Roman" w:hAnsi="Times New Roman" w:eastAsia="標楷體"/>
                <w:b w:val="0"/>
                <w:sz w:val="22"/>
              </w:rPr>
              <w:t>設備架構圖列為 Fig. 1</w:t>
            </w:r>
          </w:p>
        </w:tc>
      </w:tr>
      <w:tr>
        <w:tc>
          <w:tcPr>
            <w:tcW w:type="dxa" w:w="2381"/>
          </w:tcPr>
          <w:p>
            <w:pPr>
              <w:spacing w:line="360" w:lineRule="exact"/>
              <w:jc w:val="center"/>
            </w:pPr>
            <w:r/>
            <w:r>
              <w:rPr>
                <w:rFonts w:ascii="Times New Roman" w:hAnsi="Times New Roman" w:eastAsia="標楷體"/>
                <w:b w:val="0"/>
                <w:sz w:val="22"/>
              </w:rPr>
              <w:t>圖表一律英文</w:t>
            </w:r>
          </w:p>
        </w:tc>
        <w:tc>
          <w:tcPr>
            <w:tcW w:type="dxa" w:w="4989"/>
          </w:tcPr>
          <w:p>
            <w:pPr>
              <w:spacing w:line="360" w:lineRule="exact"/>
              <w:jc w:val="center"/>
            </w:pPr>
            <w:r/>
            <w:r>
              <w:rPr>
                <w:rFonts w:ascii="Times New Roman" w:hAnsi="Times New Roman" w:eastAsia="標楷體"/>
                <w:b w:val="0"/>
                <w:sz w:val="22"/>
              </w:rPr>
              <w:t>全數確認</w:t>
            </w:r>
          </w:p>
        </w:tc>
      </w:tr>
    </w:tbl>
    <w:p>
      <w:pPr>
        <w:spacing w:before="0" w:after="0" w:line="400" w:lineRule="exact"/>
        <w:ind w:left="0"/>
      </w:pPr>
    </w:p>
    <w:p>
      <w:pPr>
        <w:spacing w:before="0" w:after="80" w:line="400" w:lineRule="exact"/>
        <w:ind w:left="454"/>
      </w:pPr>
      <w:r>
        <w:rPr>
          <w:rFonts w:ascii="Times New Roman" w:hAnsi="Times New Roman" w:eastAsia="標楷體"/>
          <w:b w:val="0"/>
          <w:sz w:val="24"/>
        </w:rPr>
        <w:t>演算法命名一項曾誤將機制名（Curvature Screening、Design-Matched Baseline Calibration）視為已完成；「曲率」與「配對基準」係手段而非目的，經指正後改以「為達成何事」命名，手段移入說明句。</w:t>
      </w:r>
    </w:p>
    <w:p>
      <w:pPr>
        <w:spacing w:before="200" w:after="80" w:line="400" w:lineRule="exact"/>
        <w:ind w:left="0"/>
      </w:pPr>
      <w:r>
        <w:rPr>
          <w:rFonts w:ascii="Times New Roman" w:hAnsi="Times New Roman" w:eastAsia="標楷體"/>
          <w:b/>
          <w:sz w:val="24"/>
        </w:rPr>
        <w:t>5. 微正壓循環控制系統設備架構圖</w:t>
      </w:r>
    </w:p>
    <w:p>
      <w:pPr>
        <w:spacing w:before="0" w:after="80" w:line="400" w:lineRule="exact"/>
        <w:ind w:left="454"/>
      </w:pPr>
      <w:r>
        <w:rPr>
          <w:rFonts w:ascii="Times New Roman" w:hAnsi="Times New Roman" w:eastAsia="標楷體"/>
          <w:b w:val="0"/>
          <w:sz w:val="24"/>
        </w:rPr>
        <w:t>依設備方簡報之控制程序繪製，全英文標示，含三個壓力分區：反應物系統（6 kg/cm² 以下，3L H₂ 與 3L CO₂ 經 V1／V2 進 1L 混合槽，比例 4:1）、反應菌系統（1.5 kg/cm² 以下，經 V3 進 5L 反應槽，循環泵頂空抽氣底部進氣）、生成物系統（1 kg/cm² 以下，經 V4 分送 CH₄ 與 CO₂ 兩台光學式分析儀）。</w:t>
      </w:r>
    </w:p>
    <w:p>
      <w:pPr>
        <w:spacing w:before="0" w:after="80" w:line="400" w:lineRule="exact"/>
        <w:ind w:left="454"/>
      </w:pPr>
      <w:r>
        <w:rPr>
          <w:rFonts w:ascii="Times New Roman" w:hAnsi="Times New Roman" w:eastAsia="標楷體"/>
          <w:b w:val="0"/>
          <w:sz w:val="24"/>
        </w:rPr>
        <w:t>繪製過程中曾疊加壓力階梯線、壓差標註與工作週期波形，經檢視後判定資訊過載致架構本身不易辨識，全數移除，壓力層級僅以區名下方一行文字表示。</w:t>
      </w:r>
    </w:p>
    <w:p>
      <w:pPr>
        <w:spacing w:before="0" w:after="80" w:line="400" w:lineRule="exact"/>
        <w:ind w:left="454"/>
      </w:pPr>
      <w:r>
        <w:rPr>
          <w:rFonts w:ascii="Times New Roman" w:hAnsi="Times New Roman" w:eastAsia="標楷體"/>
          <w:b w:val="0"/>
          <w:sz w:val="24"/>
        </w:rPr>
        <w:t>符號另作區辨：閘閥標 V1–V4、壓力傳感器標 PT、循環泵另用泵符號。先前壓力傳感器與泵同用符號 P，為明確之誤導，已修正並加圖例。所有壓力與槽體規格均取自設備方簡報，未自行推算。</w:t>
      </w:r>
    </w:p>
    <w:p>
      <w:pPr>
        <w:spacing w:before="200" w:after="80" w:line="400" w:lineRule="exact"/>
        <w:ind w:left="0"/>
      </w:pPr>
      <w:r>
        <w:rPr>
          <w:rFonts w:ascii="Times New Roman" w:hAnsi="Times New Roman" w:eastAsia="標楷體"/>
          <w:b/>
          <w:sz w:val="24"/>
        </w:rPr>
        <w:t>6. 近年文獻查證與補充</w:t>
      </w:r>
    </w:p>
    <w:p>
      <w:pPr>
        <w:spacing w:before="0" w:after="80" w:line="400" w:lineRule="exact"/>
        <w:ind w:left="454"/>
      </w:pPr>
      <w:r>
        <w:rPr>
          <w:rFonts w:ascii="Times New Roman" w:hAnsi="Times New Roman" w:eastAsia="標楷體"/>
          <w:b w:val="0"/>
          <w:sz w:val="24"/>
        </w:rPr>
        <w:t>補入四筆，均以標題查詢 Crossref 取回 DOI 後逐欄核對：</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24"/>
        <w:gridCol w:w="3024"/>
        <w:gridCol w:w="3024"/>
      </w:tblGrid>
      <w:tr>
        <w:tc>
          <w:tcPr>
            <w:tcW w:type="dxa" w:w="1928"/>
          </w:tcPr>
          <w:p>
            <w:pPr>
              <w:spacing w:line="360" w:lineRule="exact"/>
              <w:jc w:val="center"/>
            </w:pPr>
            <w:r/>
            <w:r>
              <w:rPr>
                <w:rFonts w:ascii="Times New Roman" w:hAnsi="Times New Roman" w:eastAsia="標楷體"/>
                <w:b/>
                <w:sz w:val="22"/>
              </w:rPr>
              <w:t>文獻</w:t>
            </w:r>
          </w:p>
        </w:tc>
        <w:tc>
          <w:tcPr>
            <w:tcW w:type="dxa" w:w="2608"/>
          </w:tcPr>
          <w:p>
            <w:pPr>
              <w:spacing w:line="360" w:lineRule="exact"/>
              <w:jc w:val="center"/>
            </w:pPr>
            <w:r/>
            <w:r>
              <w:rPr>
                <w:rFonts w:ascii="Times New Roman" w:hAnsi="Times New Roman" w:eastAsia="標楷體"/>
                <w:b/>
                <w:sz w:val="22"/>
              </w:rPr>
              <w:t>出處</w:t>
            </w:r>
          </w:p>
        </w:tc>
        <w:tc>
          <w:tcPr>
            <w:tcW w:type="dxa" w:w="2835"/>
          </w:tcPr>
          <w:p>
            <w:pPr>
              <w:spacing w:line="360" w:lineRule="exact"/>
              <w:jc w:val="center"/>
            </w:pPr>
            <w:r/>
            <w:r>
              <w:rPr>
                <w:rFonts w:ascii="Times New Roman" w:hAnsi="Times New Roman" w:eastAsia="標楷體"/>
                <w:b/>
                <w:sz w:val="22"/>
              </w:rPr>
              <w:t>引用理由</w:t>
            </w:r>
          </w:p>
        </w:tc>
      </w:tr>
      <w:tr>
        <w:tc>
          <w:tcPr>
            <w:tcW w:type="dxa" w:w="1928"/>
          </w:tcPr>
          <w:p>
            <w:pPr>
              <w:spacing w:line="360" w:lineRule="exact"/>
            </w:pPr>
            <w:r/>
            <w:r>
              <w:rPr>
                <w:rFonts w:ascii="Times New Roman" w:hAnsi="Times New Roman" w:eastAsia="標楷體"/>
                <w:b w:val="0"/>
                <w:sz w:val="22"/>
              </w:rPr>
              <w:t>Yörüklü et al. (2025)</w:t>
            </w:r>
          </w:p>
        </w:tc>
        <w:tc>
          <w:tcPr>
            <w:tcW w:type="dxa" w:w="2608"/>
          </w:tcPr>
          <w:p>
            <w:pPr>
              <w:spacing w:line="360" w:lineRule="exact"/>
            </w:pPr>
            <w:r/>
            <w:r>
              <w:rPr>
                <w:rFonts w:ascii="Times New Roman" w:hAnsi="Times New Roman" w:eastAsia="標楷體"/>
                <w:b w:val="0"/>
                <w:sz w:val="22"/>
              </w:rPr>
              <w:t>Energy Convers. Manag. 341, 120075</w:t>
            </w:r>
          </w:p>
        </w:tc>
        <w:tc>
          <w:tcPr>
            <w:tcW w:type="dxa" w:w="2835"/>
          </w:tcPr>
          <w:p>
            <w:pPr>
              <w:spacing w:line="360" w:lineRule="exact"/>
            </w:pPr>
            <w:r/>
            <w:r>
              <w:rPr>
                <w:rFonts w:ascii="Times New Roman" w:hAnsi="Times New Roman" w:eastAsia="標楷體"/>
                <w:b w:val="0"/>
                <w:sz w:val="22"/>
              </w:rPr>
              <w:t>氣液傳質為製程限制步驟，說明本裝置加壓與循環之必要性</w:t>
            </w:r>
          </w:p>
        </w:tc>
      </w:tr>
      <w:tr>
        <w:tc>
          <w:tcPr>
            <w:tcW w:type="dxa" w:w="1928"/>
          </w:tcPr>
          <w:p>
            <w:pPr>
              <w:spacing w:line="360" w:lineRule="exact"/>
            </w:pPr>
            <w:r/>
            <w:r>
              <w:rPr>
                <w:rFonts w:ascii="Times New Roman" w:hAnsi="Times New Roman" w:eastAsia="標楷體"/>
                <w:b w:val="0"/>
                <w:sz w:val="22"/>
              </w:rPr>
              <w:t>Acosta-Pavas et al. (2023)</w:t>
            </w:r>
          </w:p>
        </w:tc>
        <w:tc>
          <w:tcPr>
            <w:tcW w:type="dxa" w:w="2608"/>
          </w:tcPr>
          <w:p>
            <w:pPr>
              <w:spacing w:line="360" w:lineRule="exact"/>
            </w:pPr>
            <w:r/>
            <w:r>
              <w:rPr>
                <w:rFonts w:ascii="Times New Roman" w:hAnsi="Times New Roman" w:eastAsia="標楷體"/>
                <w:b w:val="0"/>
                <w:sz w:val="22"/>
              </w:rPr>
              <w:t>Fuel 344, 128106</w:t>
            </w:r>
          </w:p>
        </w:tc>
        <w:tc>
          <w:tcPr>
            <w:tcW w:type="dxa" w:w="2835"/>
          </w:tcPr>
          <w:p>
            <w:pPr>
              <w:spacing w:line="360" w:lineRule="exact"/>
            </w:pPr>
            <w:r/>
            <w:r>
              <w:rPr>
                <w:rFonts w:ascii="Times New Roman" w:hAnsi="Times New Roman" w:eastAsia="標楷體"/>
                <w:b w:val="0"/>
                <w:sz w:val="22"/>
              </w:rPr>
              <w:t>ADM1 對生物甲烷化之近年擴充，其生物與傳質參數須由同一組量測共同辨識</w:t>
            </w:r>
          </w:p>
        </w:tc>
      </w:tr>
      <w:tr>
        <w:tc>
          <w:tcPr>
            <w:tcW w:type="dxa" w:w="1928"/>
          </w:tcPr>
          <w:p>
            <w:pPr>
              <w:spacing w:line="360" w:lineRule="exact"/>
            </w:pPr>
            <w:r/>
            <w:r>
              <w:rPr>
                <w:rFonts w:ascii="Times New Roman" w:hAnsi="Times New Roman" w:eastAsia="標楷體"/>
                <w:b w:val="0"/>
                <w:sz w:val="22"/>
              </w:rPr>
              <w:t>Simpson &amp; Baker (2026)</w:t>
            </w:r>
          </w:p>
        </w:tc>
        <w:tc>
          <w:tcPr>
            <w:tcW w:type="dxa" w:w="2608"/>
          </w:tcPr>
          <w:p>
            <w:pPr>
              <w:spacing w:line="360" w:lineRule="exact"/>
            </w:pPr>
            <w:r/>
            <w:r>
              <w:rPr>
                <w:rFonts w:ascii="Times New Roman" w:hAnsi="Times New Roman" w:eastAsia="標楷體"/>
                <w:b w:val="0"/>
                <w:sz w:val="22"/>
              </w:rPr>
              <w:t>SIAM Review 68(1), 153–171</w:t>
            </w:r>
          </w:p>
        </w:tc>
        <w:tc>
          <w:tcPr>
            <w:tcW w:type="dxa" w:w="2835"/>
          </w:tcPr>
          <w:p>
            <w:pPr>
              <w:spacing w:line="360" w:lineRule="exact"/>
            </w:pPr>
            <w:r/>
            <w:r>
              <w:rPr>
                <w:rFonts w:ascii="Times New Roman" w:hAnsi="Times New Roman" w:eastAsia="標楷體"/>
                <w:b w:val="0"/>
                <w:sz w:val="22"/>
              </w:rPr>
              <w:t>可辨識性之近年綜述，串接「可辨識性—參數估計—模型預測」</w:t>
            </w:r>
          </w:p>
        </w:tc>
      </w:tr>
      <w:tr>
        <w:tc>
          <w:tcPr>
            <w:tcW w:type="dxa" w:w="1928"/>
          </w:tcPr>
          <w:p>
            <w:pPr>
              <w:spacing w:line="360" w:lineRule="exact"/>
            </w:pPr>
            <w:r/>
            <w:r>
              <w:rPr>
                <w:rFonts w:ascii="Times New Roman" w:hAnsi="Times New Roman" w:eastAsia="標楷體"/>
                <w:b w:val="0"/>
                <w:sz w:val="22"/>
              </w:rPr>
              <w:t>Rutland et al. (2025)</w:t>
            </w:r>
          </w:p>
        </w:tc>
        <w:tc>
          <w:tcPr>
            <w:tcW w:type="dxa" w:w="2608"/>
          </w:tcPr>
          <w:p>
            <w:pPr>
              <w:spacing w:line="360" w:lineRule="exact"/>
            </w:pPr>
            <w:r/>
            <w:r>
              <w:rPr>
                <w:rFonts w:ascii="Times New Roman" w:hAnsi="Times New Roman" w:eastAsia="標楷體"/>
                <w:b w:val="0"/>
                <w:sz w:val="22"/>
              </w:rPr>
              <w:t>Molecules 30(5), 1092</w:t>
            </w:r>
          </w:p>
        </w:tc>
        <w:tc>
          <w:tcPr>
            <w:tcW w:type="dxa" w:w="2835"/>
          </w:tcPr>
          <w:p>
            <w:pPr>
              <w:spacing w:line="360" w:lineRule="exact"/>
            </w:pPr>
            <w:r/>
            <w:r>
              <w:rPr>
                <w:rFonts w:ascii="Times New Roman" w:hAnsi="Times New Roman" w:eastAsia="標楷體"/>
                <w:b w:val="0"/>
                <w:sz w:val="22"/>
              </w:rPr>
              <w:t>厭氧消化以既有量測軟測量不可量之製程量，與本文動機相同</w:t>
            </w:r>
          </w:p>
        </w:tc>
      </w:tr>
    </w:tbl>
    <w:p>
      <w:pPr>
        <w:spacing w:before="0" w:after="0" w:line="400" w:lineRule="exact"/>
        <w:ind w:left="0"/>
      </w:pPr>
    </w:p>
    <w:p>
      <w:pPr>
        <w:spacing w:before="0" w:after="80" w:line="400" w:lineRule="exact"/>
        <w:ind w:left="454"/>
      </w:pPr>
      <w:r>
        <w:rPr>
          <w:rFonts w:ascii="Times New Roman" w:hAnsi="Times New Roman" w:eastAsia="標楷體"/>
          <w:b w:val="0"/>
          <w:sz w:val="24"/>
        </w:rPr>
        <w:t>不予替換之四筆為 Bandyopadhyay (1967)、Varah (1985)、Gouriéroux (1993) 與 Friedman (2003)。前者為威脅引用，其動態除氣法早本文五十九年即從單一軌跡同時取出傳質係數與生物速率，正文已明列繼承關係；後三者為方法之優先權來源。以近年文獻置換之，等同隱匿先前技術。</w:t>
      </w:r>
    </w:p>
    <w:p>
      <w:pPr>
        <w:spacing w:before="0" w:after="80" w:line="400" w:lineRule="exact"/>
        <w:ind w:left="454"/>
      </w:pPr>
      <w:r>
        <w:rPr>
          <w:rFonts w:ascii="Times New Roman" w:hAnsi="Times New Roman" w:eastAsia="標楷體"/>
          <w:b w:val="0"/>
          <w:sz w:val="24"/>
        </w:rPr>
        <w:t>作業中另記錄一事：初期憑印象填寫之三個 DOI 經 Crossref 解析後全部指向不相干之論文（多相泵、異丙醇分離、微型徑向渦輪），故一律改以標題查詢，不採用未經解析之 DOI。</w:t>
      </w:r>
    </w:p>
    <w:p>
      <w:pPr>
        <w:spacing w:before="200" w:after="80" w:line="400" w:lineRule="exact"/>
        <w:ind w:left="0"/>
      </w:pPr>
      <w:r>
        <w:rPr>
          <w:rFonts w:ascii="Times New Roman" w:hAnsi="Times New Roman" w:eastAsia="標楷體"/>
          <w:b/>
          <w:sz w:val="24"/>
        </w:rPr>
        <w:t>7. 交付物產生流程之缺陷修復與稽核工具</w:t>
      </w:r>
    </w:p>
    <w:p>
      <w:pPr>
        <w:spacing w:before="0" w:after="80" w:line="400" w:lineRule="exact"/>
        <w:ind w:left="454"/>
      </w:pPr>
      <w:r>
        <w:rPr>
          <w:rFonts w:ascii="Times New Roman" w:hAnsi="Times New Roman" w:eastAsia="標楷體"/>
          <w:b w:val="0"/>
          <w:sz w:val="24"/>
        </w:rPr>
        <w:t>本週於成品中查出並修復之缺陷：</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24"/>
        <w:gridCol w:w="3024"/>
        <w:gridCol w:w="3024"/>
      </w:tblGrid>
      <w:tr>
        <w:tc>
          <w:tcPr>
            <w:tcW w:type="dxa" w:w="2154"/>
          </w:tcPr>
          <w:p>
            <w:pPr>
              <w:spacing w:line="360" w:lineRule="exact"/>
              <w:jc w:val="center"/>
            </w:pPr>
            <w:r/>
            <w:r>
              <w:rPr>
                <w:rFonts w:ascii="Times New Roman" w:hAnsi="Times New Roman" w:eastAsia="標楷體"/>
                <w:b/>
                <w:sz w:val="22"/>
              </w:rPr>
              <w:t>缺陷</w:t>
            </w:r>
          </w:p>
        </w:tc>
        <w:tc>
          <w:tcPr>
            <w:tcW w:type="dxa" w:w="2948"/>
          </w:tcPr>
          <w:p>
            <w:pPr>
              <w:spacing w:line="360" w:lineRule="exact"/>
              <w:jc w:val="center"/>
            </w:pPr>
            <w:r/>
            <w:r>
              <w:rPr>
                <w:rFonts w:ascii="Times New Roman" w:hAnsi="Times New Roman" w:eastAsia="標楷體"/>
                <w:b/>
                <w:sz w:val="22"/>
              </w:rPr>
              <w:t>症狀</w:t>
            </w:r>
          </w:p>
        </w:tc>
        <w:tc>
          <w:tcPr>
            <w:tcW w:type="dxa" w:w="2268"/>
          </w:tcPr>
          <w:p>
            <w:pPr>
              <w:spacing w:line="360" w:lineRule="exact"/>
              <w:jc w:val="center"/>
            </w:pPr>
            <w:r/>
            <w:r>
              <w:rPr>
                <w:rFonts w:ascii="Times New Roman" w:hAnsi="Times New Roman" w:eastAsia="標楷體"/>
                <w:b/>
                <w:sz w:val="22"/>
              </w:rPr>
              <w:t>成因</w:t>
            </w:r>
          </w:p>
        </w:tc>
      </w:tr>
      <w:tr>
        <w:tc>
          <w:tcPr>
            <w:tcW w:type="dxa" w:w="2154"/>
          </w:tcPr>
          <w:p>
            <w:pPr>
              <w:spacing w:line="360" w:lineRule="exact"/>
              <w:jc w:val="center"/>
            </w:pPr>
            <w:r/>
            <w:r>
              <w:rPr>
                <w:rFonts w:ascii="Times New Roman" w:hAnsi="Times New Roman" w:eastAsia="標楷體"/>
                <w:b w:val="0"/>
                <w:sz w:val="22"/>
              </w:rPr>
              <w:t>希臘字母未列入巨集表</w:t>
            </w:r>
          </w:p>
        </w:tc>
        <w:tc>
          <w:tcPr>
            <w:tcW w:type="dxa" w:w="2948"/>
          </w:tcPr>
          <w:p>
            <w:pPr>
              <w:spacing w:line="360" w:lineRule="exact"/>
            </w:pPr>
            <w:r/>
            <w:r>
              <w:rPr>
                <w:rFonts w:ascii="Times New Roman" w:hAnsi="Times New Roman" w:eastAsia="標楷體"/>
                <w:b w:val="0"/>
                <w:sz w:val="22"/>
              </w:rPr>
              <w:t>β 完全消失，印為「=0.30」</w:t>
            </w:r>
          </w:p>
        </w:tc>
        <w:tc>
          <w:tcPr>
            <w:tcW w:type="dxa" w:w="2268"/>
          </w:tcPr>
          <w:p>
            <w:pPr>
              <w:spacing w:line="360" w:lineRule="exact"/>
              <w:jc w:val="center"/>
            </w:pPr>
            <w:r/>
            <w:r>
              <w:rPr>
                <w:rFonts w:ascii="Times New Roman" w:hAnsi="Times New Roman" w:eastAsia="標楷體"/>
                <w:b w:val="0"/>
                <w:sz w:val="22"/>
              </w:rPr>
              <w:t>「刪除未知指令」規則靜默吞除</w:t>
            </w:r>
          </w:p>
        </w:tc>
      </w:tr>
      <w:tr>
        <w:tc>
          <w:tcPr>
            <w:tcW w:type="dxa" w:w="2154"/>
          </w:tcPr>
          <w:p>
            <w:pPr>
              <w:spacing w:line="360" w:lineRule="exact"/>
              <w:jc w:val="center"/>
            </w:pPr>
            <w:r/>
            <w:r>
              <w:rPr>
                <w:rFonts w:ascii="Times New Roman" w:hAnsi="Times New Roman" w:eastAsia="標楷體"/>
                <w:b w:val="0"/>
                <w:sz w:val="22"/>
              </w:rPr>
              <w:t>破折號規則順序</w:t>
            </w:r>
          </w:p>
        </w:tc>
        <w:tc>
          <w:tcPr>
            <w:tcW w:type="dxa" w:w="2948"/>
          </w:tcPr>
          <w:p>
            <w:pPr>
              <w:spacing w:line="360" w:lineRule="exact"/>
              <w:jc w:val="center"/>
            </w:pPr>
            <w:r/>
            <w:r>
              <w:rPr>
                <w:rFonts w:ascii="Times New Roman" w:hAnsi="Times New Roman" w:eastAsia="標楷體"/>
                <w:b w:val="0"/>
                <w:sz w:val="22"/>
              </w:rPr>
              <w:t>長破折號印為「–-」</w:t>
            </w:r>
          </w:p>
        </w:tc>
        <w:tc>
          <w:tcPr>
            <w:tcW w:type="dxa" w:w="2268"/>
          </w:tcPr>
          <w:p>
            <w:pPr>
              <w:spacing w:line="360" w:lineRule="exact"/>
              <w:jc w:val="center"/>
            </w:pPr>
            <w:r/>
            <w:r>
              <w:rPr>
                <w:rFonts w:ascii="Times New Roman" w:hAnsi="Times New Roman" w:eastAsia="標楷體"/>
                <w:b w:val="0"/>
                <w:sz w:val="22"/>
              </w:rPr>
              <w:t>僅處理短破折號，長者被截</w:t>
            </w:r>
          </w:p>
        </w:tc>
      </w:tr>
      <w:tr>
        <w:tc>
          <w:tcPr>
            <w:tcW w:type="dxa" w:w="2154"/>
          </w:tcPr>
          <w:p>
            <w:pPr>
              <w:spacing w:line="360" w:lineRule="exact"/>
              <w:jc w:val="center"/>
            </w:pPr>
            <w:r/>
            <w:r>
              <w:rPr>
                <w:rFonts w:ascii="Times New Roman" w:hAnsi="Times New Roman" w:eastAsia="標楷體"/>
                <w:b w:val="0"/>
                <w:sz w:val="22"/>
              </w:rPr>
              <w:t>上下標無條件轉 Unicode</w:t>
            </w:r>
          </w:p>
        </w:tc>
        <w:tc>
          <w:tcPr>
            <w:tcW w:type="dxa" w:w="2948"/>
          </w:tcPr>
          <w:p>
            <w:pPr>
              <w:spacing w:line="360" w:lineRule="exact"/>
            </w:pPr>
            <w:r/>
            <w:r>
              <w:rPr>
                <w:rFonts w:ascii="Times New Roman" w:hAnsi="Times New Roman" w:eastAsia="標楷體"/>
                <w:b w:val="0"/>
                <w:sz w:val="22"/>
              </w:rPr>
              <w:t>k_med 印為 kₘₑd，d 為正常字級</w:t>
            </w:r>
          </w:p>
        </w:tc>
        <w:tc>
          <w:tcPr>
            <w:tcW w:type="dxa" w:w="2268"/>
          </w:tcPr>
          <w:p>
            <w:pPr>
              <w:spacing w:line="360" w:lineRule="exact"/>
              <w:jc w:val="center"/>
            </w:pPr>
            <w:r/>
            <w:r>
              <w:rPr>
                <w:rFonts w:ascii="Times New Roman" w:hAnsi="Times New Roman" w:eastAsia="標楷體"/>
                <w:b w:val="0"/>
                <w:sz w:val="22"/>
              </w:rPr>
              <w:t>Unicode 下標集合不完整</w:t>
            </w:r>
          </w:p>
        </w:tc>
      </w:tr>
      <w:tr>
        <w:tc>
          <w:tcPr>
            <w:tcW w:type="dxa" w:w="2154"/>
          </w:tcPr>
          <w:p>
            <w:pPr>
              <w:spacing w:line="360" w:lineRule="exact"/>
              <w:jc w:val="center"/>
            </w:pPr>
            <w:r/>
            <w:r>
              <w:rPr>
                <w:rFonts w:ascii="Times New Roman" w:hAnsi="Times New Roman" w:eastAsia="標楷體"/>
                <w:b w:val="0"/>
                <w:sz w:val="22"/>
              </w:rPr>
              <w:t>單位排法不一致</w:t>
            </w:r>
          </w:p>
        </w:tc>
        <w:tc>
          <w:tcPr>
            <w:tcW w:type="dxa" w:w="2948"/>
          </w:tcPr>
          <w:p>
            <w:pPr>
              <w:spacing w:line="360" w:lineRule="exact"/>
            </w:pPr>
            <w:r/>
            <w:r>
              <w:rPr>
                <w:rFonts w:ascii="Times New Roman" w:hAnsi="Times New Roman" w:eastAsia="標楷體"/>
                <w:b w:val="0"/>
                <w:sz w:val="22"/>
              </w:rPr>
              <w:t>並存 Unicode 上標八處與真上標六處</w:t>
            </w:r>
          </w:p>
        </w:tc>
        <w:tc>
          <w:tcPr>
            <w:tcW w:type="dxa" w:w="2268"/>
          </w:tcPr>
          <w:p>
            <w:pPr>
              <w:spacing w:line="360" w:lineRule="exact"/>
            </w:pPr>
            <w:r/>
            <w:r>
              <w:rPr>
                <w:rFonts w:ascii="Times New Roman" w:hAnsi="Times New Roman" w:eastAsia="標楷體"/>
                <w:b w:val="0"/>
                <w:sz w:val="22"/>
              </w:rPr>
              <w:t>內文、公式、摘要三條路徑各自展開</w:t>
            </w:r>
          </w:p>
        </w:tc>
      </w:tr>
      <w:tr>
        <w:tc>
          <w:tcPr>
            <w:tcW w:type="dxa" w:w="2154"/>
          </w:tcPr>
          <w:p>
            <w:pPr>
              <w:spacing w:line="360" w:lineRule="exact"/>
              <w:jc w:val="center"/>
            </w:pPr>
            <w:r/>
            <w:r>
              <w:rPr>
                <w:rFonts w:ascii="Times New Roman" w:hAnsi="Times New Roman" w:eastAsia="標楷體"/>
                <w:b w:val="0"/>
                <w:sz w:val="22"/>
              </w:rPr>
              <w:t>交叉引用未解析</w:t>
            </w:r>
          </w:p>
        </w:tc>
        <w:tc>
          <w:tcPr>
            <w:tcW w:type="dxa" w:w="2948"/>
          </w:tcPr>
          <w:p>
            <w:pPr>
              <w:spacing w:line="360" w:lineRule="exact"/>
            </w:pPr>
            <w:r/>
            <w:r>
              <w:rPr>
                <w:rFonts w:ascii="Times New Roman" w:hAnsi="Times New Roman" w:eastAsia="標楷體"/>
                <w:b w:val="0"/>
                <w:sz w:val="22"/>
              </w:rPr>
              <w:t>章節引用印出 sec:endpoint 字面</w:t>
            </w:r>
          </w:p>
        </w:tc>
        <w:tc>
          <w:tcPr>
            <w:tcW w:type="dxa" w:w="2268"/>
          </w:tcPr>
          <w:p>
            <w:pPr>
              <w:spacing w:line="360" w:lineRule="exact"/>
            </w:pPr>
            <w:r/>
            <w:r>
              <w:rPr>
                <w:rFonts w:ascii="Times New Roman" w:hAnsi="Times New Roman" w:eastAsia="標楷體"/>
                <w:b w:val="0"/>
                <w:sz w:val="22"/>
              </w:rPr>
              <w:t>節號為手寫字典，且僅收 section 標籤</w:t>
            </w:r>
          </w:p>
        </w:tc>
      </w:tr>
      <w:tr>
        <w:tc>
          <w:tcPr>
            <w:tcW w:type="dxa" w:w="2154"/>
          </w:tcPr>
          <w:p>
            <w:pPr>
              <w:spacing w:line="360" w:lineRule="exact"/>
              <w:jc w:val="center"/>
            </w:pPr>
            <w:r/>
            <w:r>
              <w:rPr>
                <w:rFonts w:ascii="Times New Roman" w:hAnsi="Times New Roman" w:eastAsia="標楷體"/>
                <w:b w:val="0"/>
                <w:sz w:val="22"/>
              </w:rPr>
              <w:t>圖號錯位</w:t>
            </w:r>
          </w:p>
        </w:tc>
        <w:tc>
          <w:tcPr>
            <w:tcW w:type="dxa" w:w="2948"/>
          </w:tcPr>
          <w:p>
            <w:pPr>
              <w:spacing w:line="360" w:lineRule="exact"/>
            </w:pPr>
            <w:r/>
            <w:r>
              <w:rPr>
                <w:rFonts w:ascii="Times New Roman" w:hAnsi="Times New Roman" w:eastAsia="標楷體"/>
                <w:b w:val="0"/>
                <w:sz w:val="22"/>
              </w:rPr>
              <w:t>內文「Fig. 5」對應圖說「Fig. 4」</w:t>
            </w:r>
          </w:p>
        </w:tc>
        <w:tc>
          <w:tcPr>
            <w:tcW w:type="dxa" w:w="2268"/>
          </w:tcPr>
          <w:p>
            <w:pPr>
              <w:spacing w:line="360" w:lineRule="exact"/>
              <w:jc w:val="center"/>
            </w:pPr>
            <w:r/>
            <w:r>
              <w:rPr>
                <w:rFonts w:ascii="Times New Roman" w:hAnsi="Times New Roman" w:eastAsia="標楷體"/>
                <w:b w:val="0"/>
                <w:sz w:val="22"/>
              </w:rPr>
              <w:t>非貪婪比對跨越環境邊界</w:t>
            </w:r>
          </w:p>
        </w:tc>
      </w:tr>
      <w:tr>
        <w:tc>
          <w:tcPr>
            <w:tcW w:type="dxa" w:w="2154"/>
          </w:tcPr>
          <w:p>
            <w:pPr>
              <w:spacing w:line="360" w:lineRule="exact"/>
              <w:jc w:val="center"/>
            </w:pPr>
            <w:r/>
            <w:r>
              <w:rPr>
                <w:rFonts w:ascii="Times New Roman" w:hAnsi="Times New Roman" w:eastAsia="標楷體"/>
                <w:b w:val="0"/>
                <w:sz w:val="22"/>
              </w:rPr>
              <w:t>書目結尾殘留</w:t>
            </w:r>
          </w:p>
        </w:tc>
        <w:tc>
          <w:tcPr>
            <w:tcW w:type="dxa" w:w="2948"/>
          </w:tcPr>
          <w:p>
            <w:pPr>
              <w:spacing w:line="360" w:lineRule="exact"/>
              <w:jc w:val="center"/>
            </w:pPr>
            <w:r/>
            <w:r>
              <w:rPr>
                <w:rFonts w:ascii="Times New Roman" w:hAnsi="Times New Roman" w:eastAsia="標楷體"/>
                <w:b w:val="0"/>
                <w:sz w:val="22"/>
              </w:rPr>
              <w:t>末筆文獻後印出多餘字串</w:t>
            </w:r>
          </w:p>
        </w:tc>
        <w:tc>
          <w:tcPr>
            <w:tcW w:type="dxa" w:w="2268"/>
          </w:tcPr>
          <w:p>
            <w:pPr>
              <w:spacing w:line="360" w:lineRule="exact"/>
              <w:jc w:val="center"/>
            </w:pPr>
            <w:r/>
            <w:r>
              <w:rPr>
                <w:rFonts w:ascii="Times New Roman" w:hAnsi="Times New Roman" w:eastAsia="標楷體"/>
                <w:b w:val="0"/>
                <w:sz w:val="22"/>
              </w:rPr>
              <w:t>bibitem 終止條件含檔尾</w:t>
            </w:r>
          </w:p>
        </w:tc>
      </w:tr>
      <w:tr>
        <w:tc>
          <w:tcPr>
            <w:tcW w:type="dxa" w:w="2154"/>
          </w:tcPr>
          <w:p>
            <w:pPr>
              <w:spacing w:line="360" w:lineRule="exact"/>
              <w:jc w:val="center"/>
            </w:pPr>
            <w:r/>
            <w:r>
              <w:rPr>
                <w:rFonts w:ascii="Times New Roman" w:hAnsi="Times New Roman" w:eastAsia="標楷體"/>
                <w:b w:val="0"/>
                <w:sz w:val="22"/>
              </w:rPr>
              <w:t>土耳其字母未對應</w:t>
            </w:r>
          </w:p>
        </w:tc>
        <w:tc>
          <w:tcPr>
            <w:tcW w:type="dxa" w:w="2948"/>
          </w:tcPr>
          <w:p>
            <w:pPr>
              <w:spacing w:line="360" w:lineRule="exact"/>
              <w:jc w:val="center"/>
            </w:pPr>
            <w:r/>
            <w:r>
              <w:rPr>
                <w:rFonts w:ascii="Times New Roman" w:hAnsi="Times New Roman" w:eastAsia="標楷體"/>
                <w:b w:val="0"/>
                <w:sz w:val="22"/>
              </w:rPr>
              <w:t>書目印出殘留跳脫字元</w:t>
            </w:r>
          </w:p>
        </w:tc>
        <w:tc>
          <w:tcPr>
            <w:tcW w:type="dxa" w:w="2268"/>
          </w:tcPr>
          <w:p>
            <w:pPr>
              <w:spacing w:line="360" w:lineRule="exact"/>
              <w:jc w:val="center"/>
            </w:pPr>
            <w:r/>
            <w:r>
              <w:rPr>
                <w:rFonts w:ascii="Times New Roman" w:hAnsi="Times New Roman" w:eastAsia="標楷體"/>
                <w:b w:val="0"/>
                <w:sz w:val="22"/>
              </w:rPr>
              <w:t>巨集表僅有 ü，缺 ö 與 ğ</w:t>
            </w:r>
          </w:p>
        </w:tc>
      </w:tr>
    </w:tbl>
    <w:p>
      <w:pPr>
        <w:spacing w:before="0" w:after="0" w:line="400" w:lineRule="exact"/>
        <w:ind w:left="0"/>
      </w:pPr>
    </w:p>
    <w:p>
      <w:pPr>
        <w:spacing w:before="0" w:after="80" w:line="400" w:lineRule="exact"/>
        <w:ind w:left="454"/>
      </w:pPr>
      <w:r>
        <w:rPr>
          <w:rFonts w:ascii="Times New Roman" w:hAnsi="Times New Roman" w:eastAsia="標楷體"/>
          <w:b w:val="0"/>
          <w:sz w:val="24"/>
        </w:rPr>
        <w:t>以上多數源於內文與公式兩條展開路徑各自維護，補規則時易顧此失彼。為此建置 audit.py，自症狀反向偵測（孤立等號、空括號、混高下標、破折號殘體），可查出既有稽核工具無法發現之「符號被吞除」類缺陷—原稽核僅檢查殘留標記，β 消失時仍判定通過。</w:t>
      </w:r>
    </w:p>
    <w:p>
      <w:pPr>
        <w:spacing w:before="0" w:after="80" w:line="400" w:lineRule="exact"/>
        <w:ind w:left="454"/>
      </w:pPr>
      <w:r>
        <w:rPr>
          <w:rFonts w:ascii="Times New Roman" w:hAnsi="Times New Roman" w:eastAsia="標楷體"/>
          <w:b w:val="0"/>
          <w:sz w:val="24"/>
        </w:rPr>
        <w:t>另建置 layout.py 版面模擬器，區分「內容高度」與「分頁留白」。實測顯示超頁主因為留白而非內容：11.5 頁時正文僅 9.7 頁，留白達 1.0 頁，係 .docx 無浮動圖、圖片塞不下即整塊推至次頁所致；有效對策為調整圖片位置而非刪減文字。</w:t>
      </w:r>
    </w:p>
    <w:p>
      <w:pPr>
        <w:spacing w:before="240" w:after="80" w:line="400" w:lineRule="exact"/>
        <w:ind w:left="0"/>
      </w:pPr>
      <w:r>
        <w:rPr>
          <w:rFonts w:ascii="Times New Roman" w:hAnsi="Times New Roman" w:eastAsia="標楷體"/>
          <w:b/>
          <w:sz w:val="24"/>
        </w:rPr>
        <w:t>待辦事項</w:t>
      </w:r>
    </w:p>
    <w:p>
      <w:pPr>
        <w:spacing w:before="0" w:after="80" w:line="400" w:lineRule="exact"/>
        <w:ind w:left="454"/>
      </w:pPr>
      <w:r>
        <w:rPr>
          <w:rFonts w:ascii="Times New Roman" w:hAnsi="Times New Roman" w:eastAsia="標楷體"/>
          <w:b w:val="0"/>
          <w:sz w:val="24"/>
        </w:rPr>
        <w:t>一、實際頁數覆核。目前模擬值 10.51 頁。頁數推估之偏移量由前兩次量測得 +0.49，第三次量測卻為 +1.05，換算關係已不可信，須以 Word 實測為準。若超出上限，優先移除 Listing 3（約 55 mm，其程序於 5.3 節已有完整敘述）。</w:t>
      </w:r>
    </w:p>
    <w:p>
      <w:pPr>
        <w:spacing w:before="0" w:after="80" w:line="400" w:lineRule="exact"/>
        <w:ind w:left="454"/>
      </w:pPr>
      <w:r>
        <w:rPr>
          <w:rFonts w:ascii="Times New Roman" w:hAnsi="Times New Roman" w:eastAsia="標楷體"/>
          <w:b w:val="0"/>
          <w:sz w:val="24"/>
        </w:rPr>
        <w:t>二、四位作者之 ORCID。原佔位符為虛構，已移除，須由本人填入。</w:t>
      </w:r>
    </w:p>
    <w:p>
      <w:pPr>
        <w:spacing w:before="0" w:after="80" w:line="400" w:lineRule="exact"/>
        <w:ind w:left="454"/>
      </w:pPr>
      <w:r>
        <w:rPr>
          <w:rFonts w:ascii="Times New Roman" w:hAnsi="Times New Roman" w:eastAsia="標楷體"/>
          <w:b w:val="0"/>
          <w:sz w:val="24"/>
        </w:rPr>
        <w:t>三、Springer 版權讓與書之親筆簽名（範本 3.1 節明定不接受電子簽章）。</w:t>
      </w:r>
    </w:p>
    <w:p>
      <w:pPr>
        <w:spacing w:before="0" w:after="80" w:line="400" w:lineRule="exact"/>
        <w:ind w:left="454"/>
      </w:pPr>
      <w:r>
        <w:rPr>
          <w:rFonts w:ascii="Times New Roman" w:hAnsi="Times New Roman" w:eastAsia="標楷體"/>
          <w:b w:val="0"/>
          <w:sz w:val="24"/>
        </w:rPr>
        <w:t>四、十六筆文獻之引用內容貼切性抽查。DOI 與書目欄位均已逐筆核對，惟「該文獻是否確實支持所在句之主張」須由讀過原文者判斷。</w:t>
      </w:r>
    </w:p>
    <w:p>
      <w:pPr>
        <w:spacing w:before="0" w:after="80" w:line="400" w:lineRule="exact"/>
        <w:ind w:left="454"/>
      </w:pPr>
      <w:r>
        <w:rPr>
          <w:rFonts w:ascii="Times New Roman" w:hAnsi="Times New Roman" w:eastAsia="標楷體"/>
          <w:b w:val="0"/>
          <w:sz w:val="24"/>
        </w:rPr>
        <w:t>五、閘閥型式確認。設備方簡報僅載「閥1~閥4」，未標型式，圖上標示之 Gate valve 係依口述。若現場為電磁閥或球閥，圖例須隨之修正。</w:t>
      </w:r>
    </w:p>
    <w:p>
      <w:pPr>
        <w:spacing w:before="240" w:after="80" w:line="400" w:lineRule="exact"/>
        <w:ind w:left="0"/>
      </w:pPr>
      <w:r>
        <w:rPr>
          <w:rFonts w:ascii="Times New Roman" w:hAnsi="Times New Roman" w:eastAsia="標楷體"/>
          <w:b/>
          <w:sz w:val="24"/>
        </w:rPr>
        <w:t>補充</w:t>
      </w:r>
    </w:p>
    <w:p>
      <w:pPr>
        <w:spacing w:before="0" w:after="80" w:line="400" w:lineRule="exact"/>
        <w:ind w:left="454"/>
      </w:pPr>
      <w:r>
        <w:rPr>
          <w:rFonts w:ascii="Times New Roman" w:hAnsi="Times New Roman" w:eastAsia="標楷體"/>
          <w:b w:val="0"/>
          <w:sz w:val="24"/>
        </w:rPr>
        <w:t>本週之淨效果為主結果之不確定度較前次為大：由「聚合中位數無偏」改為「偏高 3–12 %，修正後 ±7.6 %」。此非退步而係更正——原「無偏」之結論係在恆定真值假設下取得，而同一份分析已排除恆定真值，兩者不能併存。</w:t>
      </w:r>
    </w:p>
    <w:p>
      <w:pPr>
        <w:spacing w:before="0" w:after="80" w:line="400" w:lineRule="exact"/>
        <w:ind w:left="454"/>
      </w:pPr>
      <w:r>
        <w:rPr>
          <w:rFonts w:ascii="Times New Roman" w:hAnsi="Times New Roman" w:eastAsia="標楷體"/>
          <w:b w:val="0"/>
          <w:sz w:val="24"/>
        </w:rPr>
        <w:t>換得者為「恆定真值被排除」一項變得紮實（約十個標準差，且不再存在循環論證），以及一個可對外陳述的精度數字：單一量化壓力通道可將生物速率定至約 ±8 %。</w:t>
      </w:r>
    </w:p>
    <w:p>
      <w:pPr>
        <w:spacing w:before="0" w:after="80" w:line="400" w:lineRule="exact"/>
        <w:ind w:left="454"/>
      </w:pPr>
      <w:r>
        <w:rPr>
          <w:rFonts w:ascii="Times New Roman" w:hAnsi="Times New Roman" w:eastAsia="標楷體"/>
          <w:b w:val="0"/>
          <w:sz w:val="24"/>
        </w:rPr>
        <w:t>距 ICEA 2026 截稿（8/31）尚餘十九日。</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