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5aff5bcd6c74a66b33fc3b156255e6e1c407a2e"/>
    <w:p>
      <w:pPr>
        <w:pStyle w:val="1"/>
      </w:pPr>
      <w:r>
        <w:t xml:space="preserve">Treasury System Structure for Thai Commercial Bank: Local Bond and Money Market Operations</w:t>
      </w:r>
    </w:p>
    <w:bookmarkStart w:id="28" w:name="system-overview-and-strategic-objectives"/>
    <w:p>
      <w:pPr>
        <w:pStyle w:val="2"/>
      </w:pPr>
      <w:r>
        <w:t xml:space="preserve">1. System Overview and Strategic Objectives</w:t>
      </w:r>
    </w:p>
    <w:bookmarkStart w:id="23" w:name="primary-system-goals"/>
    <w:p>
      <w:pPr>
        <w:pStyle w:val="3"/>
      </w:pPr>
      <w:r>
        <w:t xml:space="preserve">1.1 Primary System Goals</w:t>
      </w:r>
    </w:p>
    <w:bookmarkStart w:id="20" w:name="liquidity-management-function"/>
    <w:p>
      <w:pPr>
        <w:pStyle w:val="4"/>
      </w:pPr>
      <w:r>
        <w:t xml:space="preserve">1.1.1 Liquidity Management Function</w:t>
      </w:r>
    </w:p>
    <w:p>
      <w:pPr>
        <w:pStyle w:val="FirstParagraph"/>
      </w:pPr>
      <w:r>
        <w:t xml:space="preserve">The</w:t>
      </w:r>
      <w:r>
        <w:t xml:space="preserve"> </w:t>
      </w:r>
      <w:r>
        <w:rPr>
          <w:b/>
          <w:bCs/>
        </w:rPr>
        <w:t xml:space="preserve">liquidity management function</w:t>
      </w:r>
      <w:r>
        <w:t xml:space="preserve"> </w:t>
      </w:r>
      <w:r>
        <w:t xml:space="preserve">serves as the foundational pillar of the treasury system, enabling precise control over short-term funding needs and strategic deployment of excess cash in the Thai Baht market. This function operates through two interconnected channels:</w:t>
      </w:r>
      <w:r>
        <w:t xml:space="preserve"> </w:t>
      </w:r>
      <w:r>
        <w:rPr>
          <w:b/>
          <w:bCs/>
        </w:rPr>
        <w:t xml:space="preserve">bilateral repos with the Bank of Thailand</w:t>
      </w:r>
      <w:r>
        <w:t xml:space="preserve"> </w:t>
      </w:r>
      <w:r>
        <w:t xml:space="preserve">for monetary policy operations, and</w:t>
      </w:r>
      <w:r>
        <w:t xml:space="preserve"> </w:t>
      </w:r>
      <w:r>
        <w:rPr>
          <w:b/>
          <w:bCs/>
        </w:rPr>
        <w:t xml:space="preserve">private market repos</w:t>
      </w:r>
      <w:r>
        <w:t xml:space="preserve"> </w:t>
      </w:r>
      <w:r>
        <w:t xml:space="preserve">with interbank counterparties for flexible short-term funding management.</w:t>
      </w:r>
    </w:p>
    <w:p>
      <w:pPr>
        <w:pStyle w:val="a0"/>
      </w:pPr>
      <w:r>
        <w:t xml:space="preserve">The Thai repo market has evolved substantially since the Bank of Thailand discontinued its centralized repo operations in 2008, transitioning to a bilateral framework that has driven significant market growth. By 2013, private repo market volume had grown to more than</w:t>
      </w:r>
      <w:r>
        <w:t xml:space="preserve"> </w:t>
      </w:r>
      <w:r>
        <w:rPr>
          <w:b/>
          <w:bCs/>
        </w:rPr>
        <w:t xml:space="preserve">twice the size of the interbank unsecured market</w:t>
      </w:r>
      <w:r>
        <w:t xml:space="preserve">, with bilateral repos accounting for approximately</w:t>
      </w:r>
      <w:r>
        <w:t xml:space="preserve"> </w:t>
      </w:r>
      <w:r>
        <w:rPr>
          <w:b/>
          <w:bCs/>
        </w:rPr>
        <w:t xml:space="preserve">85% (THB 166 trillion)</w:t>
      </w:r>
      <w:r>
        <w:t xml:space="preserve"> </w:t>
      </w:r>
      <w:r>
        <w:t xml:space="preserve">of total market volume while private repos comprised</w:t>
      </w:r>
      <w:r>
        <w:t xml:space="preserve"> </w:t>
      </w:r>
      <w:r>
        <w:rPr>
          <w:b/>
          <w:bCs/>
        </w:rPr>
        <w:t xml:space="preserve">15% (THB 28 trillion)</w:t>
      </w:r>
      <w:r>
        <w:t xml:space="preserve">. This structural transformation necessitates sophisticated liquidity forecasting tools that model both secured and unsecured funding scenarios, with particular attention to</w:t>
      </w:r>
      <w:r>
        <w:t xml:space="preserve"> </w:t>
      </w:r>
      <w:r>
        <w:rPr>
          <w:b/>
          <w:bCs/>
        </w:rPr>
        <w:t xml:space="preserve">collateral availability</w:t>
      </w:r>
      <w:r>
        <w:t xml:space="preserve"> </w:t>
      </w:r>
      <w:r>
        <w:t xml:space="preserve">and</w:t>
      </w:r>
      <w:r>
        <w:t xml:space="preserve"> </w:t>
      </w:r>
      <w:r>
        <w:rPr>
          <w:b/>
          <w:bCs/>
        </w:rPr>
        <w:t xml:space="preserve">haircut requirements</w:t>
      </w:r>
      <w:r>
        <w:t xml:space="preserve"> </w:t>
      </w:r>
      <w:r>
        <w:t xml:space="preserve">that govern market participation.</w:t>
      </w:r>
    </w:p>
    <w:p>
      <w:pPr>
        <w:pStyle w:val="a0"/>
      </w:pPr>
      <w:r>
        <w:t xml:space="preserve">The system must implement</w:t>
      </w:r>
      <w:r>
        <w:t xml:space="preserve"> </w:t>
      </w:r>
      <w:r>
        <w:rPr>
          <w:b/>
          <w:bCs/>
        </w:rPr>
        <w:t xml:space="preserve">real-time cash position monitoring</w:t>
      </w:r>
      <w:r>
        <w:t xml:space="preserve"> </w:t>
      </w:r>
      <w:r>
        <w:t xml:space="preserve">across all nostro accounts, with particular emphasis on BAHTNET settlement accounts maintained with the Bank of Thailand.</w:t>
      </w:r>
      <w:r>
        <w:t xml:space="preserve"> </w:t>
      </w:r>
      <w:r>
        <w:rPr>
          <w:b/>
          <w:bCs/>
        </w:rPr>
        <w:t xml:space="preserve">BAHTNET</w:t>
      </w:r>
      <w:r>
        <w:t xml:space="preserve">, Thailand’s real-time gross settlement system, serves as the backbone for high-value interbank payments and securities settlement, providing</w:t>
      </w:r>
      <w:r>
        <w:t xml:space="preserve"> </w:t>
      </w:r>
      <w:r>
        <w:rPr>
          <w:b/>
          <w:bCs/>
        </w:rPr>
        <w:t xml:space="preserve">immediate finality</w:t>
      </w:r>
      <w:r>
        <w:t xml:space="preserve"> </w:t>
      </w:r>
      <w:r>
        <w:t xml:space="preserve">that eliminates settlement risk for time-critical operations. The liquidity forecasting module must incorporate multiple data sources including maturing investments, scheduled repo expiries, anticipated deposit flows, and seasonal patterns specific to Thai corporate behavior—particularly around</w:t>
      </w:r>
      <w:r>
        <w:t xml:space="preserve"> </w:t>
      </w:r>
      <w:r>
        <w:rPr>
          <w:b/>
          <w:bCs/>
        </w:rPr>
        <w:t xml:space="preserve">month-end, quarter-end, and Thai public holidays</w:t>
      </w:r>
      <w:r>
        <w:t xml:space="preserve"> </w:t>
      </w:r>
      <w:r>
        <w:t xml:space="preserve">when market liquidity may be constrained.</w:t>
      </w:r>
    </w:p>
    <w:p>
      <w:pPr>
        <w:pStyle w:val="a0"/>
      </w:pPr>
      <w:r>
        <w:t xml:space="preserve">A critical component is the</w:t>
      </w:r>
      <w:r>
        <w:t xml:space="preserve"> </w:t>
      </w:r>
      <w:r>
        <w:rPr>
          <w:b/>
          <w:bCs/>
        </w:rPr>
        <w:t xml:space="preserve">Thai Overnight Repurchase Rate (THOR)</w:t>
      </w:r>
      <w:r>
        <w:t xml:space="preserve">, which has emerged as the key benchmark for interbank overnight private repo transactions. Administered by the Bank of Thailand with ThaiBMA as calculation agent, THOR must be embedded in the system’s pricing engines for accurate repo rate determination and relative value analysis. The system should also accommodate</w:t>
      </w:r>
      <w:r>
        <w:t xml:space="preserve"> </w:t>
      </w:r>
      <w:r>
        <w:rPr>
          <w:b/>
          <w:bCs/>
        </w:rPr>
        <w:t xml:space="preserve">THOR-based floating rate instruments</w:t>
      </w:r>
      <w:r>
        <w:t xml:space="preserve"> </w:t>
      </w:r>
      <w:r>
        <w:t xml:space="preserve">as they develop in the Thai market.</w:t>
      </w:r>
    </w:p>
    <w:p>
      <w:pPr>
        <w:pStyle w:val="a0"/>
      </w:pPr>
      <w:r>
        <w:t xml:space="preserve">Repo transaction support must address</w:t>
      </w:r>
      <w:r>
        <w:t xml:space="preserve"> </w:t>
      </w:r>
      <w:r>
        <w:rPr>
          <w:b/>
          <w:bCs/>
        </w:rPr>
        <w:t xml:space="preserve">Thai-specific settlement conventions</w:t>
      </w:r>
      <w:r>
        <w:t xml:space="preserve">, including typical value date structures of</w:t>
      </w:r>
      <w:r>
        <w:t xml:space="preserve"> </w:t>
      </w:r>
      <w:r>
        <w:rPr>
          <w:b/>
          <w:bCs/>
        </w:rPr>
        <w:t xml:space="preserve">“</w:t>
      </w:r>
      <w:r>
        <w:rPr>
          <w:b/>
          <w:bCs/>
        </w:rPr>
        <w:t xml:space="preserve">3 plus zero</w:t>
      </w:r>
      <w:r>
        <w:rPr>
          <w:b/>
          <w:bCs/>
        </w:rPr>
        <w:t xml:space="preserve">”</w:t>
      </w:r>
      <w:r>
        <w:t xml:space="preserve"> </w:t>
      </w:r>
      <w:r>
        <w:t xml:space="preserve">(3-day settlement for first leg, same day for second leg),</w:t>
      </w:r>
      <w:r>
        <w:t xml:space="preserve"> </w:t>
      </w:r>
      <w:r>
        <w:rPr>
          <w:b/>
          <w:bCs/>
        </w:rPr>
        <w:t xml:space="preserve">“</w:t>
      </w:r>
      <w:r>
        <w:rPr>
          <w:b/>
          <w:bCs/>
        </w:rPr>
        <w:t xml:space="preserve">2 plus 1,</w:t>
      </w:r>
      <w:r>
        <w:rPr>
          <w:b/>
          <w:bCs/>
        </w:rPr>
        <w:t xml:space="preserve">”</w:t>
      </w:r>
      <w:r>
        <w:t xml:space="preserve"> </w:t>
      </w:r>
      <w:r>
        <w:t xml:space="preserve">or</w:t>
      </w:r>
      <w:r>
        <w:t xml:space="preserve"> </w:t>
      </w:r>
      <w:r>
        <w:rPr>
          <w:b/>
          <w:bCs/>
        </w:rPr>
        <w:t xml:space="preserve">“</w:t>
      </w:r>
      <w:r>
        <w:rPr>
          <w:b/>
          <w:bCs/>
        </w:rPr>
        <w:t xml:space="preserve">2 plus 2</w:t>
      </w:r>
      <w:r>
        <w:rPr>
          <w:b/>
          <w:bCs/>
        </w:rPr>
        <w:t xml:space="preserve">”</w:t>
      </w:r>
      <w:r>
        <w:t xml:space="preserve"> </w:t>
      </w:r>
      <w:r>
        <w:t xml:space="preserve">for repo transactions, with tenors typically extending up to</w:t>
      </w:r>
      <w:r>
        <w:t xml:space="preserve"> </w:t>
      </w:r>
      <w:r>
        <w:rPr>
          <w:b/>
          <w:bCs/>
        </w:rPr>
        <w:t xml:space="preserve">1 month</w:t>
      </w:r>
      <w:r>
        <w:t xml:space="preserve"> </w:t>
      </w:r>
      <w:r>
        <w:t xml:space="preserve">but customizable based on counterparty agreements. The system must automatically calculate settlement dates, track pending cash flows, and provide</w:t>
      </w:r>
      <w:r>
        <w:t xml:space="preserve"> </w:t>
      </w:r>
      <w:r>
        <w:rPr>
          <w:b/>
          <w:bCs/>
        </w:rPr>
        <w:t xml:space="preserve">early warning alerts</w:t>
      </w:r>
      <w:r>
        <w:t xml:space="preserve"> </w:t>
      </w:r>
      <w:r>
        <w:t xml:space="preserve">for potential liquidity shortfalls or surpluses requiring market intervention.</w:t>
      </w:r>
    </w:p>
    <w:bookmarkEnd w:id="20"/>
    <w:bookmarkStart w:id="21" w:name="investment-portfolio-management"/>
    <w:p>
      <w:pPr>
        <w:pStyle w:val="4"/>
      </w:pPr>
      <w:r>
        <w:t xml:space="preserve">1.1.2 Investment Portfolio Management</w:t>
      </w:r>
    </w:p>
    <w:p>
      <w:pPr>
        <w:pStyle w:val="FirstParagraph"/>
      </w:pPr>
      <w:r>
        <w:t xml:space="preserve">The</w:t>
      </w:r>
      <w:r>
        <w:t xml:space="preserve"> </w:t>
      </w:r>
      <w:r>
        <w:rPr>
          <w:b/>
          <w:bCs/>
        </w:rPr>
        <w:t xml:space="preserve">investment portfolio management function</w:t>
      </w:r>
      <w:r>
        <w:t xml:space="preserve"> </w:t>
      </w:r>
      <w:r>
        <w:t xml:space="preserve">focuses on</w:t>
      </w:r>
      <w:r>
        <w:t xml:space="preserve"> </w:t>
      </w:r>
      <w:r>
        <w:rPr>
          <w:b/>
          <w:bCs/>
        </w:rPr>
        <w:t xml:space="preserve">optimizing risk-adjusted returns</w:t>
      </w:r>
      <w:r>
        <w:t xml:space="preserve"> </w:t>
      </w:r>
      <w:r>
        <w:t xml:space="preserve">within defined parameters across the spectrum of THB-denominated fixed income instruments. Given the</w:t>
      </w:r>
      <w:r>
        <w:t xml:space="preserve"> </w:t>
      </w:r>
      <w:r>
        <w:rPr>
          <w:b/>
          <w:bCs/>
        </w:rPr>
        <w:t xml:space="preserve">≤25 transaction/day volume ceiling</w:t>
      </w:r>
      <w:r>
        <w:t xml:space="preserve">, the system prioritizes</w:t>
      </w:r>
      <w:r>
        <w:t xml:space="preserve"> </w:t>
      </w:r>
      <w:r>
        <w:rPr>
          <w:b/>
          <w:bCs/>
        </w:rPr>
        <w:t xml:space="preserve">analytical sophistication and control robustness</w:t>
      </w:r>
      <w:r>
        <w:t xml:space="preserve"> </w:t>
      </w:r>
      <w:r>
        <w:t xml:space="preserve">over high-frequency trading capabilities, emphasizing</w:t>
      </w:r>
      <w:r>
        <w:t xml:space="preserve"> </w:t>
      </w:r>
      <w:r>
        <w:rPr>
          <w:b/>
          <w:bCs/>
        </w:rPr>
        <w:t xml:space="preserve">well-researched, compliance-vetted investment decisions</w:t>
      </w:r>
      <w:r>
        <w:t xml:space="preserve"> </w:t>
      </w:r>
      <w:r>
        <w:t xml:space="preserve">aligned with the bank’s risk appetite.</w:t>
      </w:r>
    </w:p>
    <w:p>
      <w:pPr>
        <w:pStyle w:val="a0"/>
      </w:pPr>
      <w:r>
        <w:t xml:space="preserve">The investment universe spans:</w:t>
      </w:r>
      <w:r>
        <w:t xml:space="preserve"> </w:t>
      </w:r>
      <w:r>
        <w:rPr>
          <w:b/>
          <w:bCs/>
        </w:rPr>
        <w:t xml:space="preserve">Thailand government bonds</w:t>
      </w:r>
      <w:r>
        <w:t xml:space="preserve"> </w:t>
      </w:r>
      <w:r>
        <w:t xml:space="preserve">(T-bonds and T-bills),</w:t>
      </w:r>
      <w:r>
        <w:t xml:space="preserve"> </w:t>
      </w:r>
      <w:r>
        <w:rPr>
          <w:b/>
          <w:bCs/>
        </w:rPr>
        <w:t xml:space="preserve">Bank of Thailand securities</w:t>
      </w:r>
      <w:r>
        <w:t xml:space="preserve">,</w:t>
      </w:r>
      <w:r>
        <w:t xml:space="preserve"> </w:t>
      </w:r>
      <w:r>
        <w:rPr>
          <w:b/>
          <w:bCs/>
        </w:rPr>
        <w:t xml:space="preserve">state-owned enterprise bonds</w:t>
      </w:r>
      <w:r>
        <w:t xml:space="preserve">,</w:t>
      </w:r>
      <w:r>
        <w:t xml:space="preserve"> </w:t>
      </w:r>
      <w:r>
        <w:rPr>
          <w:b/>
          <w:bCs/>
        </w:rPr>
        <w:t xml:space="preserve">corporate bonds</w:t>
      </w:r>
      <w:r>
        <w:t xml:space="preserve">, and</w:t>
      </w:r>
      <w:r>
        <w:t xml:space="preserve"> </w:t>
      </w:r>
      <w:r>
        <w:rPr>
          <w:b/>
          <w:bCs/>
        </w:rPr>
        <w:t xml:space="preserve">structured repo transactions</w:t>
      </w:r>
      <w:r>
        <w:t xml:space="preserve">. The</w:t>
      </w:r>
      <w:r>
        <w:t xml:space="preserve"> </w:t>
      </w:r>
      <w:r>
        <w:rPr>
          <w:b/>
          <w:bCs/>
        </w:rPr>
        <w:t xml:space="preserve">seamless sovereign yield curve</w:t>
      </w:r>
      <w:r>
        <w:t xml:space="preserve"> </w:t>
      </w:r>
      <w:r>
        <w:t xml:space="preserve">created through coordination between the Ministry of Finance and Bank of Thailand requires particular attention—the BOT occupies the</w:t>
      </w:r>
      <w:r>
        <w:t xml:space="preserve"> </w:t>
      </w:r>
      <w:r>
        <w:rPr>
          <w:b/>
          <w:bCs/>
        </w:rPr>
        <w:t xml:space="preserve">sub-three-year segment</w:t>
      </w:r>
      <w:r>
        <w:t xml:space="preserve"> </w:t>
      </w:r>
      <w:r>
        <w:t xml:space="preserve">with its bond issuance, while the Ministry of Finance takes</w:t>
      </w:r>
      <w:r>
        <w:t xml:space="preserve"> </w:t>
      </w:r>
      <w:r>
        <w:rPr>
          <w:b/>
          <w:bCs/>
        </w:rPr>
        <w:t xml:space="preserve">longer tenors</w:t>
      </w:r>
      <w:r>
        <w:t xml:space="preserve">, resulting in instruments that trade in an almost seamless manner despite different issuers.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Instrument Category</w:t>
            </w:r>
          </w:p>
        </w:tc>
        <w:tc>
          <w:tcPr/>
          <w:p>
            <w:pPr>
              <w:pStyle w:val="Compact"/>
              <w:jc w:val="left"/>
            </w:pPr>
            <w:r>
              <w:rPr>
                <w:b/>
                <w:bCs/>
              </w:rPr>
              <w:t xml:space="preserve">Typical Maturity</w:t>
            </w:r>
          </w:p>
        </w:tc>
        <w:tc>
          <w:tcPr/>
          <w:p>
            <w:pPr>
              <w:pStyle w:val="Compact"/>
              <w:jc w:val="left"/>
            </w:pPr>
            <w:r>
              <w:rPr>
                <w:b/>
                <w:bCs/>
              </w:rPr>
              <w:t xml:space="preserve">Primary Purpose</w:t>
            </w:r>
          </w:p>
        </w:tc>
        <w:tc>
          <w:tcPr/>
          <w:p>
            <w:pPr>
              <w:pStyle w:val="Compact"/>
              <w:jc w:val="left"/>
            </w:pPr>
            <w:r>
              <w:rPr>
                <w:b/>
                <w:bCs/>
              </w:rPr>
              <w:t xml:space="preserve">Settlement Infrastructure</w:t>
            </w:r>
          </w:p>
        </w:tc>
        <w:tc>
          <w:tcPr/>
          <w:p>
            <w:pPr>
              <w:pStyle w:val="Compact"/>
              <w:jc w:val="left"/>
            </w:pPr>
            <w:r>
              <w:rPr>
                <w:b/>
                <w:bCs/>
              </w:rPr>
              <w:t xml:space="preserve">Key Market Characteristic</w:t>
            </w:r>
          </w:p>
        </w:tc>
      </w:tr>
      <w:tr>
        <w:tc>
          <w:tcPr/>
          <w:p>
            <w:pPr>
              <w:pStyle w:val="Compact"/>
              <w:jc w:val="left"/>
            </w:pPr>
            <w:r>
              <w:rPr>
                <w:b/>
                <w:bCs/>
              </w:rPr>
              <w:t xml:space="preserve">T-Bills</w:t>
            </w:r>
          </w:p>
        </w:tc>
        <w:tc>
          <w:tcPr/>
          <w:p>
            <w:pPr>
              <w:pStyle w:val="Compact"/>
              <w:jc w:val="left"/>
            </w:pPr>
            <w:r>
              <w:t xml:space="preserve">91–364 days</w:t>
            </w:r>
          </w:p>
        </w:tc>
        <w:tc>
          <w:tcPr/>
          <w:p>
            <w:pPr>
              <w:pStyle w:val="Compact"/>
              <w:jc w:val="left"/>
            </w:pPr>
            <w:r>
              <w:t xml:space="preserve">Liquidity buffer, collateral</w:t>
            </w:r>
          </w:p>
        </w:tc>
        <w:tc>
          <w:tcPr/>
          <w:p>
            <w:pPr>
              <w:pStyle w:val="Compact"/>
              <w:jc w:val="left"/>
            </w:pPr>
            <w:r>
              <w:t xml:space="preserve">BAHTNET RTGS</w:t>
            </w:r>
          </w:p>
        </w:tc>
        <w:tc>
          <w:tcPr/>
          <w:p>
            <w:pPr>
              <w:pStyle w:val="Compact"/>
              <w:jc w:val="left"/>
            </w:pPr>
            <w:r>
              <w:t xml:space="preserve">Discount instruments, auction-issued</w:t>
            </w:r>
          </w:p>
        </w:tc>
      </w:tr>
      <w:tr>
        <w:tc>
          <w:tcPr/>
          <w:p>
            <w:pPr>
              <w:pStyle w:val="Compact"/>
              <w:jc w:val="left"/>
            </w:pPr>
            <w:r>
              <w:rPr>
                <w:b/>
                <w:bCs/>
              </w:rPr>
              <w:t xml:space="preserve">T-Bonds</w:t>
            </w:r>
          </w:p>
        </w:tc>
        <w:tc>
          <w:tcPr/>
          <w:p>
            <w:pPr>
              <w:pStyle w:val="Compact"/>
              <w:jc w:val="left"/>
            </w:pPr>
            <w:r>
              <w:t xml:space="preserve">2–50+ years</w:t>
            </w:r>
          </w:p>
        </w:tc>
        <w:tc>
          <w:tcPr/>
          <w:p>
            <w:pPr>
              <w:pStyle w:val="Compact"/>
              <w:jc w:val="left"/>
            </w:pPr>
            <w:r>
              <w:t xml:space="preserve">Investment, collateral, HQLA</w:t>
            </w:r>
          </w:p>
        </w:tc>
        <w:tc>
          <w:tcPr/>
          <w:p>
            <w:pPr>
              <w:pStyle w:val="Compact"/>
              <w:jc w:val="left"/>
            </w:pPr>
            <w:r>
              <w:t xml:space="preserve">BAHTNET RTGS</w:t>
            </w:r>
          </w:p>
        </w:tc>
        <w:tc>
          <w:tcPr/>
          <w:p>
            <w:pPr>
              <w:pStyle w:val="Compact"/>
              <w:jc w:val="left"/>
            </w:pPr>
            <w:r>
              <w:t xml:space="preserve">Benchmark yield curve, semi-annual coupons</w:t>
            </w:r>
          </w:p>
        </w:tc>
      </w:tr>
      <w:tr>
        <w:tc>
          <w:tcPr/>
          <w:p>
            <w:pPr>
              <w:pStyle w:val="Compact"/>
              <w:jc w:val="left"/>
            </w:pPr>
            <w:r>
              <w:rPr>
                <w:b/>
                <w:bCs/>
              </w:rPr>
              <w:t xml:space="preserve">BOT Bonds/Bills</w:t>
            </w:r>
          </w:p>
        </w:tc>
        <w:tc>
          <w:tcPr/>
          <w:p>
            <w:pPr>
              <w:pStyle w:val="Compact"/>
              <w:jc w:val="left"/>
            </w:pPr>
            <w:r>
              <w:t xml:space="preserve">1–2 years (bonds); &lt;1 year (bills)</w:t>
            </w:r>
          </w:p>
        </w:tc>
        <w:tc>
          <w:tcPr/>
          <w:p>
            <w:pPr>
              <w:pStyle w:val="Compact"/>
              <w:jc w:val="left"/>
            </w:pPr>
            <w:r>
              <w:t xml:space="preserve">Monetary policy operations, liquidity management</w:t>
            </w:r>
          </w:p>
        </w:tc>
        <w:tc>
          <w:tcPr/>
          <w:p>
            <w:pPr>
              <w:pStyle w:val="Compact"/>
              <w:jc w:val="left"/>
            </w:pPr>
            <w:r>
              <w:t xml:space="preserve">BAHTNET RTGS</w:t>
            </w:r>
          </w:p>
        </w:tc>
        <w:tc>
          <w:tcPr/>
          <w:p>
            <w:pPr>
              <w:pStyle w:val="Compact"/>
              <w:jc w:val="left"/>
            </w:pPr>
            <w:r>
              <w:t xml:space="preserve">Policy rate linkage, repo eligibility</w:t>
            </w:r>
          </w:p>
        </w:tc>
      </w:tr>
      <w:tr>
        <w:tc>
          <w:tcPr/>
          <w:p>
            <w:pPr>
              <w:pStyle w:val="Compact"/>
              <w:jc w:val="left"/>
            </w:pPr>
            <w:r>
              <w:rPr>
                <w:b/>
                <w:bCs/>
              </w:rPr>
              <w:t xml:space="preserve">SOE Bonds</w:t>
            </w:r>
          </w:p>
        </w:tc>
        <w:tc>
          <w:tcPr/>
          <w:p>
            <w:pPr>
              <w:pStyle w:val="Compact"/>
              <w:jc w:val="left"/>
            </w:pPr>
            <w:r>
              <w:t xml:space="preserve">3–15 years</w:t>
            </w:r>
          </w:p>
        </w:tc>
        <w:tc>
          <w:tcPr/>
          <w:p>
            <w:pPr>
              <w:pStyle w:val="Compact"/>
              <w:jc w:val="left"/>
            </w:pPr>
            <w:r>
              <w:t xml:space="preserve">Yield enhancement, quasi-sovereign exposure</w:t>
            </w:r>
          </w:p>
        </w:tc>
        <w:tc>
          <w:tcPr/>
          <w:p>
            <w:pPr>
              <w:pStyle w:val="Compact"/>
              <w:jc w:val="left"/>
            </w:pPr>
            <w:r>
              <w:t xml:space="preserve">TSD DVP Model 1</w:t>
            </w:r>
          </w:p>
        </w:tc>
        <w:tc>
          <w:tcPr/>
          <w:p>
            <w:pPr>
              <w:pStyle w:val="Compact"/>
              <w:jc w:val="left"/>
            </w:pPr>
            <w:r>
              <w:t xml:space="preserve">Government guarantee (typical), spread to sovereign</w:t>
            </w:r>
          </w:p>
        </w:tc>
      </w:tr>
      <w:tr>
        <w:tc>
          <w:tcPr/>
          <w:p>
            <w:pPr>
              <w:pStyle w:val="Compact"/>
              <w:jc w:val="left"/>
            </w:pPr>
            <w:r>
              <w:rPr>
                <w:b/>
                <w:bCs/>
              </w:rPr>
              <w:t xml:space="preserve">Corporate Bonds</w:t>
            </w:r>
          </w:p>
        </w:tc>
        <w:tc>
          <w:tcPr/>
          <w:p>
            <w:pPr>
              <w:pStyle w:val="Compact"/>
              <w:jc w:val="left"/>
            </w:pPr>
            <w:r>
              <w:t xml:space="preserve">1–10 years</w:t>
            </w:r>
          </w:p>
        </w:tc>
        <w:tc>
          <w:tcPr/>
          <w:p>
            <w:pPr>
              <w:pStyle w:val="Compact"/>
              <w:jc w:val="left"/>
            </w:pPr>
            <w:r>
              <w:t xml:space="preserve">Credit spread income</w:t>
            </w:r>
          </w:p>
        </w:tc>
        <w:tc>
          <w:tcPr/>
          <w:p>
            <w:pPr>
              <w:pStyle w:val="Compact"/>
              <w:jc w:val="left"/>
            </w:pPr>
            <w:r>
              <w:t xml:space="preserve">TSD DVP Model 1</w:t>
            </w:r>
          </w:p>
        </w:tc>
        <w:tc>
          <w:tcPr/>
          <w:p>
            <w:pPr>
              <w:pStyle w:val="Compact"/>
              <w:jc w:val="left"/>
            </w:pPr>
            <w:r>
              <w:t xml:space="preserve">Rating-diverse, liquidity varies by issuer</w:t>
            </w:r>
          </w:p>
        </w:tc>
      </w:tr>
      <w:tr>
        <w:tc>
          <w:tcPr/>
          <w:p>
            <w:pPr>
              <w:pStyle w:val="Compact"/>
              <w:jc w:val="left"/>
            </w:pPr>
            <w:r>
              <w:rPr>
                <w:b/>
                <w:bCs/>
              </w:rPr>
              <w:t xml:space="preserve">Repos/Reverse Repos</w:t>
            </w:r>
          </w:p>
        </w:tc>
        <w:tc>
          <w:tcPr/>
          <w:p>
            <w:pPr>
              <w:pStyle w:val="Compact"/>
              <w:jc w:val="left"/>
            </w:pPr>
            <w:r>
              <w:t xml:space="preserve">Overnight–1 month</w:t>
            </w:r>
          </w:p>
        </w:tc>
        <w:tc>
          <w:tcPr/>
          <w:p>
            <w:pPr>
              <w:pStyle w:val="Compact"/>
              <w:jc w:val="left"/>
            </w:pPr>
            <w:r>
              <w:t xml:space="preserve">Short-term funding/cash deployment</w:t>
            </w:r>
          </w:p>
        </w:tc>
        <w:tc>
          <w:tcPr/>
          <w:p>
            <w:pPr>
              <w:pStyle w:val="Compact"/>
              <w:jc w:val="left"/>
            </w:pPr>
            <w:r>
              <w:t xml:space="preserve">BAHTNET/TSD</w:t>
            </w:r>
          </w:p>
        </w:tc>
        <w:tc>
          <w:tcPr/>
          <w:p>
            <w:pPr>
              <w:pStyle w:val="Compact"/>
              <w:jc w:val="left"/>
            </w:pPr>
            <w:r>
              <w:t xml:space="preserve">Collateralized, haircut-adjusted</w:t>
            </w:r>
          </w:p>
        </w:tc>
      </w:tr>
    </w:tbl>
    <w:p>
      <w:pPr>
        <w:pStyle w:val="a0"/>
      </w:pPr>
      <w:r>
        <w:t xml:space="preserve">Portfolio construction requires</w:t>
      </w:r>
      <w:r>
        <w:t xml:space="preserve"> </w:t>
      </w:r>
      <w:r>
        <w:rPr>
          <w:b/>
          <w:bCs/>
        </w:rPr>
        <w:t xml:space="preserve">strategic asset allocation</w:t>
      </w:r>
      <w:r>
        <w:t xml:space="preserve"> </w:t>
      </w:r>
      <w:r>
        <w:t xml:space="preserve">tools that set target ranges for exposure to different instrument types, credit qualities, and maturity buckets. The system must incorporate</w:t>
      </w:r>
      <w:r>
        <w:t xml:space="preserve"> </w:t>
      </w:r>
      <w:r>
        <w:rPr>
          <w:b/>
          <w:bCs/>
        </w:rPr>
        <w:t xml:space="preserve">liquidity-adjusted risk measures</w:t>
      </w:r>
      <w:r>
        <w:t xml:space="preserve"> </w:t>
      </w:r>
      <w:r>
        <w:t xml:space="preserve">that penalize concentrations in thinly traded issues, particularly relevant for</w:t>
      </w:r>
      <w:r>
        <w:t xml:space="preserve"> </w:t>
      </w:r>
      <w:r>
        <w:rPr>
          <w:b/>
          <w:bCs/>
        </w:rPr>
        <w:t xml:space="preserve">corporate bonds where secondary market liquidity can be constrained</w:t>
      </w:r>
      <w:r>
        <w:t xml:space="preserve">.</w:t>
      </w:r>
      <w:r>
        <w:t xml:space="preserve"> </w:t>
      </w:r>
      <w:r>
        <w:rPr>
          <w:b/>
          <w:bCs/>
        </w:rPr>
        <w:t xml:space="preserve">Relative value analytics</w:t>
      </w:r>
      <w:r>
        <w:t xml:space="preserve"> </w:t>
      </w:r>
      <w:r>
        <w:t xml:space="preserve">should identify cheap or rich sectors based on historical yield relationships, with particular attention to</w:t>
      </w:r>
      <w:r>
        <w:t xml:space="preserve"> </w:t>
      </w:r>
      <w:r>
        <w:rPr>
          <w:b/>
          <w:bCs/>
        </w:rPr>
        <w:t xml:space="preserve">SOE bond spreads to government benchmarks</w:t>
      </w:r>
      <w:r>
        <w:t xml:space="preserve"> </w:t>
      </w:r>
      <w:r>
        <w:t xml:space="preserve">and</w:t>
      </w:r>
      <w:r>
        <w:t xml:space="preserve"> </w:t>
      </w:r>
      <w:r>
        <w:rPr>
          <w:b/>
          <w:bCs/>
        </w:rPr>
        <w:t xml:space="preserve">corporate credit curve positioning</w:t>
      </w:r>
      <w:r>
        <w:t xml:space="preserve">.</w:t>
      </w:r>
    </w:p>
    <w:p>
      <w:pPr>
        <w:pStyle w:val="a0"/>
      </w:pPr>
      <w:r>
        <w:t xml:space="preserve">Security selection integrates</w:t>
      </w:r>
      <w:r>
        <w:t xml:space="preserve"> </w:t>
      </w:r>
      <w:r>
        <w:rPr>
          <w:b/>
          <w:bCs/>
        </w:rPr>
        <w:t xml:space="preserve">credit analysis capabilities</w:t>
      </w:r>
      <w:r>
        <w:t xml:space="preserve"> </w:t>
      </w:r>
      <w:r>
        <w:t xml:space="preserve">including financial statement analysis with Thai accounting standard-specific metrics,</w:t>
      </w:r>
      <w:r>
        <w:t xml:space="preserve"> </w:t>
      </w:r>
      <w:r>
        <w:rPr>
          <w:b/>
          <w:bCs/>
        </w:rPr>
        <w:t xml:space="preserve">industry benchmarking</w:t>
      </w:r>
      <w:r>
        <w:t xml:space="preserve"> </w:t>
      </w:r>
      <w:r>
        <w:t xml:space="preserve">against Thai and regional peers, and</w:t>
      </w:r>
      <w:r>
        <w:t xml:space="preserve"> </w:t>
      </w:r>
      <w:r>
        <w:rPr>
          <w:b/>
          <w:bCs/>
        </w:rPr>
        <w:t xml:space="preserve">macroeconomic scenario analysis</w:t>
      </w:r>
      <w:r>
        <w:t xml:space="preserve"> </w:t>
      </w:r>
      <w:r>
        <w:t xml:space="preserve">relevant to Thailand’s economic cycles. For</w:t>
      </w:r>
      <w:r>
        <w:t xml:space="preserve"> </w:t>
      </w:r>
      <w:r>
        <w:rPr>
          <w:b/>
          <w:bCs/>
        </w:rPr>
        <w:t xml:space="preserve">corporate bonds</w:t>
      </w:r>
      <w:r>
        <w:t xml:space="preserve">, the system must track</w:t>
      </w:r>
      <w:r>
        <w:t xml:space="preserve"> </w:t>
      </w:r>
      <w:r>
        <w:rPr>
          <w:b/>
          <w:bCs/>
        </w:rPr>
        <w:t xml:space="preserve">SEC-recognized credit ratings</w:t>
      </w:r>
      <w:r>
        <w:t xml:space="preserve"> </w:t>
      </w:r>
      <w:r>
        <w:t xml:space="preserve">(Fitch, Moody’s, S&amp;P, TRIS Rating) and support</w:t>
      </w:r>
      <w:r>
        <w:t xml:space="preserve"> </w:t>
      </w:r>
      <w:r>
        <w:rPr>
          <w:b/>
          <w:bCs/>
        </w:rPr>
        <w:t xml:space="preserve">internal credit assessments</w:t>
      </w:r>
      <w:r>
        <w:t xml:space="preserve"> </w:t>
      </w:r>
      <w:r>
        <w:t xml:space="preserve">with documented methodologies.</w:t>
      </w:r>
    </w:p>
    <w:bookmarkEnd w:id="21"/>
    <w:bookmarkStart w:id="22" w:name="local-thb-market-focus"/>
    <w:p>
      <w:pPr>
        <w:pStyle w:val="4"/>
      </w:pPr>
      <w:r>
        <w:t xml:space="preserve">1.1.3 Local THB Market Focus</w:t>
      </w:r>
    </w:p>
    <w:p>
      <w:pPr>
        <w:pStyle w:val="FirstParagraph"/>
      </w:pPr>
      <w:r>
        <w:t xml:space="preserve">The</w:t>
      </w:r>
      <w:r>
        <w:t xml:space="preserve"> </w:t>
      </w:r>
      <w:r>
        <w:rPr>
          <w:b/>
          <w:bCs/>
        </w:rPr>
        <w:t xml:space="preserve">exclusive THB focus</w:t>
      </w:r>
      <w:r>
        <w:t xml:space="preserve"> </w:t>
      </w:r>
      <w:r>
        <w:t xml:space="preserve">eliminates multi-currency complexity while demanding</w:t>
      </w:r>
      <w:r>
        <w:t xml:space="preserve"> </w:t>
      </w:r>
      <w:r>
        <w:rPr>
          <w:b/>
          <w:bCs/>
        </w:rPr>
        <w:t xml:space="preserve">deep specialization in Thai market infrastructure and regulatory requirements</w:t>
      </w:r>
      <w:r>
        <w:t xml:space="preserve">. This specialization manifests in several critical design decisions:</w:t>
      </w:r>
    </w:p>
    <w:p>
      <w:pPr>
        <w:pStyle w:val="a0"/>
      </w:pPr>
      <w:r>
        <w:rPr>
          <w:b/>
          <w:bCs/>
        </w:rPr>
        <w:t xml:space="preserve">First</w:t>
      </w:r>
      <w:r>
        <w:t xml:space="preserve">, the system must maintain</w:t>
      </w:r>
      <w:r>
        <w:t xml:space="preserve"> </w:t>
      </w:r>
      <w:r>
        <w:rPr>
          <w:b/>
          <w:bCs/>
        </w:rPr>
        <w:t xml:space="preserve">native Thai baht currency handling</w:t>
      </w:r>
      <w:r>
        <w:t xml:space="preserve"> </w:t>
      </w:r>
      <w:r>
        <w:t xml:space="preserve">with proper formatting, rounding conventions, and</w:t>
      </w:r>
      <w:r>
        <w:t xml:space="preserve"> </w:t>
      </w:r>
      <w:r>
        <w:rPr>
          <w:b/>
          <w:bCs/>
        </w:rPr>
        <w:t xml:space="preserve">regulatory reporting formats prescribed by the Bank of Thailand</w:t>
      </w:r>
      <w:r>
        <w:t xml:space="preserve">.</w:t>
      </w:r>
      <w:r>
        <w:t xml:space="preserve"> </w:t>
      </w:r>
      <w:r>
        <w:rPr>
          <w:b/>
          <w:bCs/>
        </w:rPr>
        <w:t xml:space="preserve">Second</w:t>
      </w:r>
      <w:r>
        <w:t xml:space="preserve">, integration with Thai market infrastructure—</w:t>
      </w:r>
      <w:r>
        <w:rPr>
          <w:b/>
          <w:bCs/>
        </w:rPr>
        <w:t xml:space="preserve">TSD for corporate bond settlement</w:t>
      </w:r>
      <w:r>
        <w:t xml:space="preserve">,</w:t>
      </w:r>
      <w:r>
        <w:t xml:space="preserve"> </w:t>
      </w:r>
      <w:r>
        <w:rPr>
          <w:b/>
          <w:bCs/>
        </w:rPr>
        <w:t xml:space="preserve">BAHTNET for government securities and cash settlement</w:t>
      </w:r>
      <w:r>
        <w:t xml:space="preserve">, and</w:t>
      </w:r>
      <w:r>
        <w:t xml:space="preserve"> </w:t>
      </w:r>
      <w:r>
        <w:rPr>
          <w:b/>
          <w:bCs/>
        </w:rPr>
        <w:t xml:space="preserve">ThaiBMA for trade reporting</w:t>
      </w:r>
      <w:r>
        <w:t xml:space="preserve">—must be architected as</w:t>
      </w:r>
      <w:r>
        <w:t xml:space="preserve"> </w:t>
      </w:r>
      <w:r>
        <w:rPr>
          <w:b/>
          <w:bCs/>
        </w:rPr>
        <w:t xml:space="preserve">core system capabilities</w:t>
      </w:r>
      <w:r>
        <w:t xml:space="preserve"> </w:t>
      </w:r>
      <w:r>
        <w:t xml:space="preserve">rather than peripheral add-ons.</w:t>
      </w:r>
      <w:r>
        <w:t xml:space="preserve"> </w:t>
      </w:r>
      <w:r>
        <w:rPr>
          <w:b/>
          <w:bCs/>
        </w:rPr>
        <w:t xml:space="preserve">Third</w:t>
      </w:r>
      <w:r>
        <w:t xml:space="preserve">, compliance with</w:t>
      </w:r>
      <w:r>
        <w:t xml:space="preserve"> </w:t>
      </w:r>
      <w:r>
        <w:rPr>
          <w:b/>
          <w:bCs/>
        </w:rPr>
        <w:t xml:space="preserve">Thai Financial Reporting Standards (TFRS)</w:t>
      </w:r>
      <w:r>
        <w:t xml:space="preserve">, which align with</w:t>
      </w:r>
      <w:r>
        <w:t xml:space="preserve"> </w:t>
      </w:r>
      <w:r>
        <w:rPr>
          <w:b/>
          <w:bCs/>
        </w:rPr>
        <w:t xml:space="preserve">IFRS 9</w:t>
      </w:r>
      <w:r>
        <w:t xml:space="preserve"> </w:t>
      </w:r>
      <w:r>
        <w:t xml:space="preserve">for financial instrument accounting, must be embedded in the accounting engine.</w:t>
      </w:r>
    </w:p>
    <w:p>
      <w:pPr>
        <w:pStyle w:val="a0"/>
      </w:pPr>
      <w:r>
        <w:t xml:space="preserve">The</w:t>
      </w:r>
      <w:r>
        <w:t xml:space="preserve"> </w:t>
      </w:r>
      <w:r>
        <w:rPr>
          <w:b/>
          <w:bCs/>
        </w:rPr>
        <w:t xml:space="preserve">overwhelming dominance of OTC trading</w:t>
      </w:r>
      <w:r>
        <w:t xml:space="preserve">—approximately</w:t>
      </w:r>
      <w:r>
        <w:t xml:space="preserve"> </w:t>
      </w:r>
      <w:r>
        <w:rPr>
          <w:b/>
          <w:bCs/>
        </w:rPr>
        <w:t xml:space="preserve">99% of bond secondary market volume versus 1% on the Thailand Bond Exchange (TBX)</w:t>
      </w:r>
      <w:r>
        <w:t xml:space="preserve">—shapes trade execution module design toward</w:t>
      </w:r>
      <w:r>
        <w:t xml:space="preserve"> </w:t>
      </w:r>
      <w:r>
        <w:rPr>
          <w:b/>
          <w:bCs/>
        </w:rPr>
        <w:t xml:space="preserve">voice-brokered and bilateral negotiation workflows</w:t>
      </w:r>
      <w:r>
        <w:t xml:space="preserve"> </w:t>
      </w:r>
      <w:r>
        <w:t xml:space="preserve">rather than electronic order book functionality. Similarly, the</w:t>
      </w:r>
      <w:r>
        <w:t xml:space="preserve"> </w:t>
      </w:r>
      <w:r>
        <w:rPr>
          <w:b/>
          <w:bCs/>
        </w:rPr>
        <w:t xml:space="preserve">30-minute ThaiBMA trade reporting obligation</w:t>
      </w:r>
      <w:r>
        <w:t xml:space="preserve">necessitates</w:t>
      </w:r>
      <w:r>
        <w:t xml:space="preserve"> </w:t>
      </w:r>
      <w:r>
        <w:rPr>
          <w:b/>
          <w:bCs/>
        </w:rPr>
        <w:t xml:space="preserve">robust trade capture and automated reporting capabilities</w:t>
      </w:r>
      <w:r>
        <w:t xml:space="preserve"> </w:t>
      </w:r>
      <w:r>
        <w:t xml:space="preserve">with built-in validation for completeness and accuracy.</w:t>
      </w:r>
    </w:p>
    <w:bookmarkEnd w:id="22"/>
    <w:bookmarkEnd w:id="23"/>
    <w:bookmarkStart w:id="27" w:name="target-operating-environment"/>
    <w:p>
      <w:pPr>
        <w:pStyle w:val="3"/>
      </w:pPr>
      <w:r>
        <w:t xml:space="preserve">1.2 Target Operating Environment</w:t>
      </w:r>
    </w:p>
    <w:bookmarkStart w:id="24" w:name="X9f8b22d463a0204e456dd4377e0af1b6132797c"/>
    <w:p>
      <w:pPr>
        <w:pStyle w:val="4"/>
      </w:pPr>
      <w:r>
        <w:t xml:space="preserve">1.2.1 Low-Volume Transaction Profile (≤25 transactions/day)</w:t>
      </w:r>
    </w:p>
    <w:p>
      <w:pPr>
        <w:pStyle w:val="FirstParagraph"/>
      </w:pPr>
      <w:r>
        <w:t xml:space="preserve">The</w:t>
      </w:r>
      <w:r>
        <w:t xml:space="preserve"> </w:t>
      </w:r>
      <w:r>
        <w:rPr>
          <w:b/>
          <w:bCs/>
        </w:rPr>
        <w:t xml:space="preserve">≤25 transaction/day ceiling</w:t>
      </w:r>
      <w:r>
        <w:t xml:space="preserve"> </w:t>
      </w:r>
      <w:r>
        <w:t xml:space="preserve">fundamentally shapes architectural decisions toward</w:t>
      </w:r>
      <w:r>
        <w:t xml:space="preserve"> </w:t>
      </w:r>
      <w:r>
        <w:rPr>
          <w:b/>
          <w:bCs/>
        </w:rPr>
        <w:t xml:space="preserve">reliability, auditability, and analytical sophistication</w:t>
      </w:r>
      <w:r>
        <w:t xml:space="preserve"> </w:t>
      </w:r>
      <w:r>
        <w:t xml:space="preserve">over raw throughput. At this volume—approximately</w:t>
      </w:r>
      <w:r>
        <w:t xml:space="preserve"> </w:t>
      </w:r>
      <w:r>
        <w:rPr>
          <w:b/>
          <w:bCs/>
        </w:rPr>
        <w:t xml:space="preserve">6,250 transactions annually</w:t>
      </w:r>
      <w:r>
        <w:t xml:space="preserve"> </w:t>
      </w:r>
      <w:r>
        <w:t xml:space="preserve">assuming 250 trading days—the system can employ: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Architectural Element</w:t>
            </w:r>
          </w:p>
        </w:tc>
        <w:tc>
          <w:tcPr/>
          <w:p>
            <w:pPr>
              <w:pStyle w:val="Compact"/>
              <w:jc w:val="left"/>
            </w:pPr>
            <w:r>
              <w:rPr>
                <w:b/>
                <w:bCs/>
              </w:rPr>
              <w:t xml:space="preserve">Low-Volume Optimization</w:t>
            </w:r>
          </w:p>
        </w:tc>
        <w:tc>
          <w:tcPr/>
          <w:p>
            <w:pPr>
              <w:pStyle w:val="Compact"/>
              <w:jc w:val="left"/>
            </w:pPr>
            <w:r>
              <w:rPr>
                <w:b/>
                <w:bCs/>
              </w:rPr>
              <w:t xml:space="preserve">Typical Implementation</w:t>
            </w:r>
          </w:p>
        </w:tc>
      </w:tr>
      <w:tr>
        <w:tc>
          <w:tcPr/>
          <w:p>
            <w:pPr>
              <w:pStyle w:val="Compact"/>
              <w:jc w:val="left"/>
            </w:pPr>
            <w:r>
              <w:rPr>
                <w:b/>
                <w:bCs/>
              </w:rPr>
              <w:t xml:space="preserve">Database</w:t>
            </w:r>
          </w:p>
        </w:tc>
        <w:tc>
          <w:tcPr/>
          <w:p>
            <w:pPr>
              <w:pStyle w:val="Compact"/>
              <w:jc w:val="left"/>
            </w:pPr>
            <w:r>
              <w:t xml:space="preserve">ACID compliance over horizontal scaling</w:t>
            </w:r>
          </w:p>
        </w:tc>
        <w:tc>
          <w:tcPr/>
          <w:p>
            <w:pPr>
              <w:pStyle w:val="Compact"/>
              <w:jc w:val="left"/>
            </w:pPr>
            <w:r>
              <w:t xml:space="preserve">Oracle/PostgreSQL/SQL Server with full normalization</w:t>
            </w:r>
          </w:p>
        </w:tc>
      </w:tr>
      <w:tr>
        <w:tc>
          <w:tcPr/>
          <w:p>
            <w:pPr>
              <w:pStyle w:val="Compact"/>
              <w:jc w:val="left"/>
            </w:pPr>
            <w:r>
              <w:rPr>
                <w:b/>
                <w:bCs/>
              </w:rPr>
              <w:t xml:space="preserve">Processing model</w:t>
            </w:r>
          </w:p>
        </w:tc>
        <w:tc>
          <w:tcPr/>
          <w:p>
            <w:pPr>
              <w:pStyle w:val="Compact"/>
              <w:jc w:val="left"/>
            </w:pPr>
            <w:r>
              <w:t xml:space="preserve">Synchronous with immediate commit</w:t>
            </w:r>
          </w:p>
        </w:tc>
        <w:tc>
          <w:tcPr/>
          <w:p>
            <w:pPr>
              <w:pStyle w:val="Compact"/>
              <w:jc w:val="left"/>
            </w:pPr>
            <w:r>
              <w:t xml:space="preserve">Real-time validation, multi-level approval workflows</w:t>
            </w:r>
          </w:p>
        </w:tc>
      </w:tr>
      <w:tr>
        <w:tc>
          <w:tcPr/>
          <w:p>
            <w:pPr>
              <w:pStyle w:val="Compact"/>
              <w:jc w:val="left"/>
            </w:pPr>
            <w:r>
              <w:rPr>
                <w:b/>
                <w:bCs/>
              </w:rPr>
              <w:t xml:space="preserve">User interface</w:t>
            </w:r>
          </w:p>
        </w:tc>
        <w:tc>
          <w:tcPr/>
          <w:p>
            <w:pPr>
              <w:pStyle w:val="Compact"/>
              <w:jc w:val="left"/>
            </w:pPr>
            <w:r>
              <w:t xml:space="preserve">Rich contextual data display</w:t>
            </w:r>
          </w:p>
        </w:tc>
        <w:tc>
          <w:tcPr/>
          <w:p>
            <w:pPr>
              <w:pStyle w:val="Compact"/>
              <w:jc w:val="left"/>
            </w:pPr>
            <w:r>
              <w:t xml:space="preserve">Comprehensive counterparty info, historical patterns, risk analytics</w:t>
            </w:r>
          </w:p>
        </w:tc>
      </w:tr>
      <w:tr>
        <w:tc>
          <w:tcPr/>
          <w:p>
            <w:pPr>
              <w:pStyle w:val="Compact"/>
              <w:jc w:val="left"/>
            </w:pPr>
            <w:r>
              <w:rPr>
                <w:b/>
                <w:bCs/>
              </w:rPr>
              <w:t xml:space="preserve">Batch windows</w:t>
            </w:r>
          </w:p>
        </w:tc>
        <w:tc>
          <w:tcPr/>
          <w:p>
            <w:pPr>
              <w:pStyle w:val="Compact"/>
              <w:jc w:val="left"/>
            </w:pPr>
            <w:r>
              <w:t xml:space="preserve">Generous timeframes for thorough validation</w:t>
            </w:r>
          </w:p>
        </w:tc>
        <w:tc>
          <w:tcPr/>
          <w:p>
            <w:pPr>
              <w:pStyle w:val="Compact"/>
              <w:jc w:val="left"/>
            </w:pPr>
            <w:r>
              <w:t xml:space="preserve">Extended EOD processing, complex calculations without time pressure</w:t>
            </w:r>
          </w:p>
        </w:tc>
      </w:tr>
      <w:tr>
        <w:tc>
          <w:tcPr/>
          <w:p>
            <w:pPr>
              <w:pStyle w:val="Compact"/>
              <w:jc w:val="left"/>
            </w:pPr>
            <w:r>
              <w:rPr>
                <w:b/>
                <w:bCs/>
              </w:rPr>
              <w:t xml:space="preserve">Infrastructure</w:t>
            </w:r>
          </w:p>
        </w:tc>
        <w:tc>
          <w:tcPr/>
          <w:p>
            <w:pPr>
              <w:pStyle w:val="Compact"/>
              <w:jc w:val="left"/>
            </w:pPr>
            <w:r>
              <w:t xml:space="preserve">Conservative sizing with headroom</w:t>
            </w:r>
          </w:p>
        </w:tc>
        <w:tc>
          <w:tcPr/>
          <w:p>
            <w:pPr>
              <w:pStyle w:val="Compact"/>
              <w:jc w:val="left"/>
            </w:pPr>
            <w:r>
              <w:t xml:space="preserve">Single application server with redundant failover</w:t>
            </w:r>
          </w:p>
        </w:tc>
      </w:tr>
    </w:tbl>
    <w:p>
      <w:pPr>
        <w:pStyle w:val="a0"/>
      </w:pPr>
      <w:r>
        <w:t xml:space="preserve">The low-volume environment enables</w:t>
      </w:r>
      <w:r>
        <w:t xml:space="preserve"> </w:t>
      </w:r>
      <w:r>
        <w:rPr>
          <w:b/>
          <w:bCs/>
        </w:rPr>
        <w:t xml:space="preserve">“</w:t>
      </w:r>
      <w:r>
        <w:rPr>
          <w:b/>
          <w:bCs/>
        </w:rPr>
        <w:t xml:space="preserve">white glove</w:t>
      </w:r>
      <w:r>
        <w:rPr>
          <w:b/>
          <w:bCs/>
        </w:rPr>
        <w:t xml:space="preserve">”</w:t>
      </w:r>
      <w:r>
        <w:rPr>
          <w:b/>
          <w:bCs/>
        </w:rPr>
        <w:t xml:space="preserve"> </w:t>
      </w:r>
      <w:r>
        <w:rPr>
          <w:b/>
          <w:bCs/>
        </w:rPr>
        <w:t xml:space="preserve">transaction handling</w:t>
      </w:r>
      <w:r>
        <w:t xml:space="preserve"> </w:t>
      </w:r>
      <w:r>
        <w:t xml:space="preserve">where each trade receives</w:t>
      </w:r>
      <w:r>
        <w:t xml:space="preserve"> </w:t>
      </w:r>
      <w:r>
        <w:rPr>
          <w:b/>
          <w:bCs/>
        </w:rPr>
        <w:t xml:space="preserve">individual attention from qualified personnel</w:t>
      </w:r>
      <w:r>
        <w:t xml:space="preserve">—pre-execution limit checking, post-execution confirmation matching, and settlement instruction verification with manual oversight at each stage. However, the architecture must accommodate</w:t>
      </w:r>
      <w:r>
        <w:t xml:space="preserve"> </w:t>
      </w:r>
      <w:r>
        <w:rPr>
          <w:b/>
          <w:bCs/>
        </w:rPr>
        <w:t xml:space="preserve">burst capacity</w:t>
      </w:r>
      <w:r>
        <w:t xml:space="preserve"> </w:t>
      </w:r>
      <w:r>
        <w:t xml:space="preserve">for: month-end/quarter-end portfolio rebalancing, emergency liquidity operations during market stress, simultaneous repo executions for overnight funding, and bulk processing of maturing positions.</w:t>
      </w:r>
    </w:p>
    <w:bookmarkEnd w:id="24"/>
    <w:bookmarkStart w:id="25" w:name="Xbc787b07d762f71d56e329472ebab5665b7bd79"/>
    <w:p>
      <w:pPr>
        <w:pStyle w:val="4"/>
      </w:pPr>
      <w:r>
        <w:t xml:space="preserve">1.2.2 Multi-Layer User Segregation (Front/Middle/Back Office + IT Admin)</w:t>
      </w:r>
    </w:p>
    <w:p>
      <w:pPr>
        <w:pStyle w:val="FirstParagraph"/>
      </w:pPr>
      <w:r>
        <w:t xml:space="preserve">The</w:t>
      </w:r>
      <w:r>
        <w:t xml:space="preserve"> </w:t>
      </w:r>
      <w:r>
        <w:rPr>
          <w:b/>
          <w:bCs/>
        </w:rPr>
        <w:t xml:space="preserve">four-tier segregation</w:t>
      </w:r>
      <w:r>
        <w:t xml:space="preserve"> </w:t>
      </w:r>
      <w:r>
        <w:t xml:space="preserve">enforces</w:t>
      </w:r>
      <w:r>
        <w:t xml:space="preserve"> </w:t>
      </w:r>
      <w:r>
        <w:rPr>
          <w:b/>
          <w:bCs/>
        </w:rPr>
        <w:t xml:space="preserve">separation of duties</w:t>
      </w:r>
      <w:r>
        <w:t xml:space="preserve"> </w:t>
      </w:r>
      <w:r>
        <w:t xml:space="preserve">critical for operational risk management and regulatory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Primary Functions</w:t>
            </w:r>
          </w:p>
        </w:tc>
        <w:tc>
          <w:tcPr/>
          <w:p>
            <w:pPr>
              <w:pStyle w:val="Compact"/>
              <w:jc w:val="left"/>
            </w:pPr>
            <w:r>
              <w:rPr>
                <w:b/>
                <w:bCs/>
              </w:rPr>
              <w:t xml:space="preserve">Key Permissions</w:t>
            </w:r>
          </w:p>
        </w:tc>
        <w:tc>
          <w:tcPr/>
          <w:p>
            <w:pPr>
              <w:pStyle w:val="Compact"/>
              <w:jc w:val="left"/>
            </w:pPr>
            <w:r>
              <w:rPr>
                <w:b/>
                <w:bCs/>
              </w:rPr>
              <w:t xml:space="preserve">Explicit Restrictions</w:t>
            </w:r>
          </w:p>
        </w:tc>
      </w:tr>
      <w:tr>
        <w:tc>
          <w:tcPr/>
          <w:p>
            <w:pPr>
              <w:pStyle w:val="Compact"/>
              <w:jc w:val="left"/>
            </w:pPr>
            <w:r>
              <w:rPr>
                <w:b/>
                <w:bCs/>
              </w:rPr>
              <w:t xml:space="preserve">Front Office</w:t>
            </w:r>
          </w:p>
        </w:tc>
        <w:tc>
          <w:tcPr/>
          <w:p>
            <w:pPr>
              <w:pStyle w:val="Compact"/>
              <w:jc w:val="left"/>
            </w:pPr>
            <w:r>
              <w:t xml:space="preserve">Trade execution, portfolio management, market analysis</w:t>
            </w:r>
          </w:p>
        </w:tc>
        <w:tc>
          <w:tcPr/>
          <w:p>
            <w:pPr>
              <w:pStyle w:val="Compact"/>
              <w:jc w:val="left"/>
            </w:pPr>
            <w:r>
              <w:t xml:space="preserve">Real-time market data, trade capture, position monitoring, P&amp;L inquiry</w:t>
            </w:r>
          </w:p>
        </w:tc>
        <w:tc>
          <w:tcPr/>
          <w:p>
            <w:pPr>
              <w:pStyle w:val="Compact"/>
              <w:jc w:val="left"/>
            </w:pPr>
            <w:r>
              <w:t xml:space="preserve">No settlement instruction modification; no accounting record access; no user administration</w:t>
            </w:r>
          </w:p>
        </w:tc>
      </w:tr>
      <w:tr>
        <w:tc>
          <w:tcPr/>
          <w:p>
            <w:pPr>
              <w:pStyle w:val="Compact"/>
              <w:jc w:val="left"/>
            </w:pPr>
            <w:r>
              <w:rPr>
                <w:b/>
                <w:bCs/>
              </w:rPr>
              <w:t xml:space="preserve">Middle Office</w:t>
            </w:r>
          </w:p>
        </w:tc>
        <w:tc>
          <w:tcPr/>
          <w:p>
            <w:pPr>
              <w:pStyle w:val="Compact"/>
              <w:jc w:val="left"/>
            </w:pPr>
            <w:r>
              <w:t xml:space="preserve">Risk management, compliance monitoring, independent validation</w:t>
            </w:r>
          </w:p>
        </w:tc>
        <w:tc>
          <w:tcPr/>
          <w:p>
            <w:pPr>
              <w:pStyle w:val="Compact"/>
              <w:jc w:val="left"/>
            </w:pPr>
            <w:r>
              <w:t xml:space="preserve">Limit setting/monitoring, regulatory reporting, price verification, exception investigation</w:t>
            </w:r>
          </w:p>
        </w:tc>
        <w:tc>
          <w:tcPr/>
          <w:p>
            <w:pPr>
              <w:pStyle w:val="Compact"/>
              <w:jc w:val="left"/>
            </w:pPr>
            <w:r>
              <w:t xml:space="preserve">No trade execution; no settlement processing</w:t>
            </w:r>
          </w:p>
        </w:tc>
      </w:tr>
      <w:tr>
        <w:tc>
          <w:tcPr/>
          <w:p>
            <w:pPr>
              <w:pStyle w:val="Compact"/>
              <w:jc w:val="left"/>
            </w:pPr>
            <w:r>
              <w:rPr>
                <w:b/>
                <w:bCs/>
              </w:rPr>
              <w:t xml:space="preserve">Back Office</w:t>
            </w:r>
          </w:p>
        </w:tc>
        <w:tc>
          <w:tcPr/>
          <w:p>
            <w:pPr>
              <w:pStyle w:val="Compact"/>
              <w:jc w:val="left"/>
            </w:pPr>
            <w:r>
              <w:t xml:space="preserve">Settlement, accounting, reconciliation</w:t>
            </w:r>
          </w:p>
        </w:tc>
        <w:tc>
          <w:tcPr/>
          <w:p>
            <w:pPr>
              <w:pStyle w:val="Compact"/>
              <w:jc w:val="left"/>
            </w:pPr>
            <w:r>
              <w:t xml:space="preserve">Trade confirmation, settlement instruction generation, journal entry preparation, nostro reconciliation</w:t>
            </w:r>
          </w:p>
        </w:tc>
        <w:tc>
          <w:tcPr/>
          <w:p>
            <w:pPr>
              <w:pStyle w:val="Compact"/>
              <w:jc w:val="left"/>
            </w:pPr>
            <w:r>
              <w:t xml:space="preserve">No trade execution; no limit modification</w:t>
            </w:r>
          </w:p>
        </w:tc>
      </w:tr>
      <w:tr>
        <w:tc>
          <w:tcPr/>
          <w:p>
            <w:pPr>
              <w:pStyle w:val="Compact"/>
              <w:jc w:val="left"/>
            </w:pPr>
            <w:r>
              <w:rPr>
                <w:b/>
                <w:bCs/>
              </w:rPr>
              <w:t xml:space="preserve">IT Administration</w:t>
            </w:r>
          </w:p>
        </w:tc>
        <w:tc>
          <w:tcPr/>
          <w:p>
            <w:pPr>
              <w:pStyle w:val="Compact"/>
              <w:jc w:val="left"/>
            </w:pPr>
            <w:r>
              <w:t xml:space="preserve">System configuration, user provisioning, technical support</w:t>
            </w:r>
          </w:p>
        </w:tc>
        <w:tc>
          <w:tcPr/>
          <w:p>
            <w:pPr>
              <w:pStyle w:val="Compact"/>
              <w:jc w:val="left"/>
            </w:pPr>
            <w:r>
              <w:t xml:space="preserve">Static data maintenance, security configuration, interface monitoring</w:t>
            </w:r>
          </w:p>
        </w:tc>
        <w:tc>
          <w:tcPr/>
          <w:p>
            <w:pPr>
              <w:pStyle w:val="Compact"/>
              <w:jc w:val="left"/>
            </w:pPr>
            <w:r>
              <w:t xml:space="preserve">No live transaction data access; no trade processing influence</w:t>
            </w:r>
          </w:p>
        </w:tc>
      </w:tr>
    </w:tbl>
    <w:p>
      <w:pPr>
        <w:pStyle w:val="a0"/>
      </w:pPr>
      <w:r>
        <w:rPr>
          <w:b/>
          <w:bCs/>
        </w:rPr>
        <w:t xml:space="preserve">Technical enforcement</w:t>
      </w:r>
      <w:r>
        <w:t xml:space="preserve"> </w:t>
      </w:r>
      <w:r>
        <w:t xml:space="preserve">through role-based access control (RBAC) at database and application levels prevents function consolidation that would create control vulnerabilities.</w:t>
      </w:r>
      <w:r>
        <w:t xml:space="preserve"> </w:t>
      </w:r>
      <w:r>
        <w:rPr>
          <w:b/>
          <w:bCs/>
        </w:rPr>
        <w:t xml:space="preserve">Four-eyes principle</w:t>
      </w:r>
      <w:r>
        <w:t xml:space="preserve"> </w:t>
      </w:r>
      <w:r>
        <w:t xml:space="preserve">implementation requires</w:t>
      </w:r>
      <w:r>
        <w:t xml:space="preserve"> </w:t>
      </w:r>
      <w:r>
        <w:rPr>
          <w:b/>
          <w:bCs/>
        </w:rPr>
        <w:t xml:space="preserve">mandatory secondary approval</w:t>
      </w:r>
      <w:r>
        <w:t xml:space="preserve"> </w:t>
      </w:r>
      <w:r>
        <w:t xml:space="preserve">for transactions exceeding thresholds, with</w:t>
      </w:r>
      <w:r>
        <w:t xml:space="preserve"> </w:t>
      </w:r>
      <w:r>
        <w:rPr>
          <w:b/>
          <w:bCs/>
        </w:rPr>
        <w:t xml:space="preserve">immutable logging</w:t>
      </w:r>
      <w:r>
        <w:t xml:space="preserve"> </w:t>
      </w:r>
      <w:r>
        <w:t xml:space="preserve">of all approval actions.</w:t>
      </w:r>
    </w:p>
    <w:bookmarkEnd w:id="25"/>
    <w:bookmarkStart w:id="26" w:name="X66db5f7591eaae87aac0b550a0936447be2a2fe"/>
    <w:p>
      <w:pPr>
        <w:pStyle w:val="4"/>
      </w:pPr>
      <w:r>
        <w:t xml:space="preserve">1.2.3 Integration with Thai Financial Market Infrastructure</w:t>
      </w:r>
    </w:p>
    <w:p>
      <w:pPr>
        <w:pStyle w:val="FirstParagraph"/>
      </w:pPr>
      <w:r>
        <w:t xml:space="preserve">Effective treasury operations require</w:t>
      </w:r>
      <w:r>
        <w:t xml:space="preserve"> </w:t>
      </w:r>
      <w:r>
        <w:rPr>
          <w:b/>
          <w:bCs/>
        </w:rPr>
        <w:t xml:space="preserve">seamless, automated integration</w:t>
      </w:r>
      <w:r>
        <w:t xml:space="preserve"> </w:t>
      </w:r>
      <w:r>
        <w:t xml:space="preserve">with three critical external systems: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Infrastructure</w:t>
            </w:r>
          </w:p>
        </w:tc>
        <w:tc>
          <w:tcPr/>
          <w:p>
            <w:pPr>
              <w:pStyle w:val="Compact"/>
              <w:jc w:val="left"/>
            </w:pPr>
            <w:r>
              <w:rPr>
                <w:b/>
                <w:bCs/>
              </w:rPr>
              <w:t xml:space="preserve">Function</w:t>
            </w:r>
          </w:p>
        </w:tc>
        <w:tc>
          <w:tcPr/>
          <w:p>
            <w:pPr>
              <w:pStyle w:val="Compact"/>
              <w:jc w:val="left"/>
            </w:pPr>
            <w:r>
              <w:rPr>
                <w:b/>
                <w:bCs/>
              </w:rPr>
              <w:t xml:space="preserve">Integration Requirements</w:t>
            </w:r>
          </w:p>
        </w:tc>
        <w:tc>
          <w:tcPr/>
          <w:p>
            <w:pPr>
              <w:pStyle w:val="Compact"/>
              <w:jc w:val="left"/>
            </w:pPr>
            <w:r>
              <w:rPr>
                <w:b/>
                <w:bCs/>
              </w:rPr>
              <w:t xml:space="preserve">Critical Features</w:t>
            </w:r>
          </w:p>
        </w:tc>
      </w:tr>
      <w:tr>
        <w:tc>
          <w:tcPr/>
          <w:p>
            <w:pPr>
              <w:pStyle w:val="Compact"/>
              <w:jc w:val="left"/>
            </w:pPr>
            <w:r>
              <w:rPr>
                <w:b/>
                <w:bCs/>
              </w:rPr>
              <w:t xml:space="preserve">Thailand Securities Depository (TSD)</w:t>
            </w:r>
          </w:p>
        </w:tc>
        <w:tc>
          <w:tcPr/>
          <w:p>
            <w:pPr>
              <w:pStyle w:val="Compact"/>
              <w:jc w:val="left"/>
            </w:pPr>
            <w:r>
              <w:t xml:space="preserve">Central securities depository for corporate bonds, equities; DVP settlement</w:t>
            </w:r>
          </w:p>
        </w:tc>
        <w:tc>
          <w:tcPr/>
          <w:p>
            <w:pPr>
              <w:pStyle w:val="Compact"/>
              <w:jc w:val="left"/>
            </w:pPr>
            <w:r>
              <w:t xml:space="preserve">SWIFT/proprietary messaging, PSMS matching, position inquiry, corporate actions</w:t>
            </w:r>
          </w:p>
        </w:tc>
        <w:tc>
          <w:tcPr/>
          <w:p>
            <w:pPr>
              <w:pStyle w:val="Compact"/>
              <w:jc w:val="left"/>
            </w:pPr>
            <w:r>
              <w:t xml:space="preserve">Scripless book-entry; omnibus/segregated accounts; T+2 settlement; no debit balances since Nov 2017</w:t>
            </w:r>
          </w:p>
        </w:tc>
      </w:tr>
      <w:tr>
        <w:tc>
          <w:tcPr/>
          <w:p>
            <w:pPr>
              <w:pStyle w:val="Compact"/>
              <w:jc w:val="left"/>
            </w:pPr>
            <w:r>
              <w:rPr>
                <w:b/>
                <w:bCs/>
              </w:rPr>
              <w:t xml:space="preserve">BAHTNET</w:t>
            </w:r>
          </w:p>
        </w:tc>
        <w:tc>
          <w:tcPr/>
          <w:p>
            <w:pPr>
              <w:pStyle w:val="Compact"/>
              <w:jc w:val="left"/>
            </w:pPr>
            <w:r>
              <w:t xml:space="preserve">RTGS for government securities, high-value payments</w:t>
            </w:r>
          </w:p>
        </w:tc>
        <w:tc>
          <w:tcPr/>
          <w:p>
            <w:pPr>
              <w:pStyle w:val="Compact"/>
              <w:jc w:val="left"/>
            </w:pPr>
            <w:r>
              <w:t xml:space="preserve">Real-time payment initiation, liquidity monitoring, settlement finality confirmation</w:t>
            </w:r>
          </w:p>
        </w:tc>
        <w:tc>
          <w:tcPr/>
          <w:p>
            <w:pPr>
              <w:pStyle w:val="Compact"/>
              <w:jc w:val="left"/>
            </w:pPr>
            <w:r>
              <w:t xml:space="preserve">Immediate irrevocable settlement; systemic importance requiring redundant connectivity</w:t>
            </w:r>
          </w:p>
        </w:tc>
      </w:tr>
      <w:tr>
        <w:tc>
          <w:tcPr/>
          <w:p>
            <w:pPr>
              <w:pStyle w:val="Compact"/>
              <w:jc w:val="left"/>
            </w:pPr>
            <w:r>
              <w:rPr>
                <w:b/>
                <w:bCs/>
              </w:rPr>
              <w:t xml:space="preserve">ThaiBMA</w:t>
            </w:r>
          </w:p>
        </w:tc>
        <w:tc>
          <w:tcPr/>
          <w:p>
            <w:pPr>
              <w:pStyle w:val="Compact"/>
              <w:jc w:val="left"/>
            </w:pPr>
            <w:r>
              <w:t xml:space="preserve">Trade reporting, reference pricing, market surveillance</w:t>
            </w:r>
          </w:p>
        </w:tc>
        <w:tc>
          <w:tcPr/>
          <w:p>
            <w:pPr>
              <w:pStyle w:val="Compact"/>
              <w:jc w:val="left"/>
            </w:pPr>
            <w:r>
              <w:t xml:space="preserve">30-minute trade reporting API, price feed ingestion, market data services</w:t>
            </w:r>
          </w:p>
        </w:tc>
        <w:tc>
          <w:tcPr/>
          <w:p>
            <w:pPr>
              <w:pStyle w:val="Compact"/>
              <w:jc w:val="left"/>
            </w:pPr>
            <w:r>
              <w:t xml:space="preserve">Regulatory-mandated timeliness; authoritative mark-to-market source</w:t>
            </w:r>
          </w:p>
        </w:tc>
      </w:tr>
    </w:tbl>
    <w:bookmarkEnd w:id="26"/>
    <w:bookmarkEnd w:id="27"/>
    <w:bookmarkEnd w:id="28"/>
    <w:bookmarkStart w:id="43" w:name="supported-instruments-and-product-scope"/>
    <w:p>
      <w:pPr>
        <w:pStyle w:val="2"/>
      </w:pPr>
      <w:r>
        <w:t xml:space="preserve">2. Supported Instruments and Product Scope</w:t>
      </w:r>
    </w:p>
    <w:bookmarkStart w:id="31" w:name="sovereign-and-central-bank-instruments"/>
    <w:p>
      <w:pPr>
        <w:pStyle w:val="3"/>
      </w:pPr>
      <w:r>
        <w:t xml:space="preserve">2.1 Sovereign and Central Bank Instruments</w:t>
      </w:r>
    </w:p>
    <w:bookmarkStart w:id="29" w:name="X5958a8c56721021841c204067c0c61870fd258d"/>
    <w:p>
      <w:pPr>
        <w:pStyle w:val="4"/>
      </w:pPr>
      <w:r>
        <w:t xml:space="preserve">2.1.1 Thailand Government Bonds (T-Bonds, T-Bills)</w:t>
      </w:r>
    </w:p>
    <w:p>
      <w:pPr>
        <w:pStyle w:val="FirstParagraph"/>
      </w:pPr>
      <w:r>
        <w:rPr>
          <w:b/>
          <w:bCs/>
        </w:rPr>
        <w:t xml:space="preserve">Thailand government bonds</w:t>
      </w:r>
      <w:r>
        <w:t xml:space="preserve"> </w:t>
      </w:r>
      <w:r>
        <w:t xml:space="preserve">constitute the</w:t>
      </w:r>
      <w:r>
        <w:t xml:space="preserve"> </w:t>
      </w:r>
      <w:r>
        <w:rPr>
          <w:b/>
          <w:bCs/>
        </w:rPr>
        <w:t xml:space="preserve">foundational risk-free asset class</w:t>
      </w:r>
      <w:r>
        <w:t xml:space="preserve"> </w:t>
      </w:r>
      <w:r>
        <w:t xml:space="preserve">for Thai commercial bank treasury operations. The</w:t>
      </w:r>
      <w:r>
        <w:t xml:space="preserve"> </w:t>
      </w:r>
      <w:r>
        <w:rPr>
          <w:b/>
          <w:bCs/>
        </w:rPr>
        <w:t xml:space="preserve">Public Debt Management Office (PDMO)</w:t>
      </w:r>
      <w:r>
        <w:t xml:space="preserve"> </w:t>
      </w:r>
      <w:r>
        <w:t xml:space="preserve">conducts regular auctions:</w:t>
      </w:r>
      <w:r>
        <w:t xml:space="preserve"> </w:t>
      </w:r>
      <w:r>
        <w:rPr>
          <w:b/>
          <w:bCs/>
        </w:rPr>
        <w:t xml:space="preserve">Treasury Bills on Mondays</w:t>
      </w:r>
      <w:r>
        <w:t xml:space="preserve"> </w:t>
      </w:r>
      <w:r>
        <w:t xml:space="preserve">and</w:t>
      </w:r>
      <w:r>
        <w:t xml:space="preserve"> </w:t>
      </w:r>
      <w:r>
        <w:rPr>
          <w:b/>
          <w:bCs/>
        </w:rPr>
        <w:t xml:space="preserve">Government Bonds (Loan Bonds) on Wednesdays</w:t>
      </w:r>
      <w:r>
        <w:t xml:space="preserve">, both using</w:t>
      </w:r>
      <w:r>
        <w:t xml:space="preserve"> </w:t>
      </w:r>
      <w:r>
        <w:rPr>
          <w:b/>
          <w:bCs/>
        </w:rPr>
        <w:t xml:space="preserve">multiple-price auction formats</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Instrument</w:t>
            </w:r>
          </w:p>
        </w:tc>
        <w:tc>
          <w:tcPr/>
          <w:p>
            <w:pPr>
              <w:pStyle w:val="Compact"/>
              <w:jc w:val="left"/>
            </w:pPr>
            <w:r>
              <w:rPr>
                <w:b/>
                <w:bCs/>
              </w:rPr>
              <w:t xml:space="preserve">Maturity Range</w:t>
            </w:r>
          </w:p>
        </w:tc>
        <w:tc>
          <w:tcPr/>
          <w:p>
            <w:pPr>
              <w:pStyle w:val="Compact"/>
              <w:jc w:val="left"/>
            </w:pPr>
            <w:r>
              <w:rPr>
                <w:b/>
                <w:bCs/>
              </w:rPr>
              <w:t xml:space="preserve">Coupon Structure</w:t>
            </w:r>
          </w:p>
        </w:tc>
        <w:tc>
          <w:tcPr/>
          <w:p>
            <w:pPr>
              <w:pStyle w:val="Compact"/>
              <w:jc w:val="left"/>
            </w:pPr>
            <w:r>
              <w:rPr>
                <w:b/>
                <w:bCs/>
              </w:rPr>
              <w:t xml:space="preserve">Day Count</w:t>
            </w:r>
          </w:p>
        </w:tc>
        <w:tc>
          <w:tcPr/>
          <w:p>
            <w:pPr>
              <w:pStyle w:val="Compact"/>
              <w:jc w:val="left"/>
            </w:pPr>
            <w:r>
              <w:rPr>
                <w:b/>
                <w:bCs/>
              </w:rPr>
              <w:t xml:space="preserve">Settlement</w:t>
            </w:r>
          </w:p>
        </w:tc>
        <w:tc>
          <w:tcPr/>
          <w:p>
            <w:pPr>
              <w:pStyle w:val="Compact"/>
              <w:jc w:val="left"/>
            </w:pPr>
            <w:r>
              <w:rPr>
                <w:b/>
                <w:bCs/>
              </w:rPr>
              <w:t xml:space="preserve">Primary Market Access</w:t>
            </w:r>
          </w:p>
        </w:tc>
      </w:tr>
      <w:tr>
        <w:tc>
          <w:tcPr/>
          <w:p>
            <w:pPr>
              <w:pStyle w:val="Compact"/>
              <w:jc w:val="left"/>
            </w:pPr>
            <w:r>
              <w:rPr>
                <w:b/>
                <w:bCs/>
              </w:rPr>
              <w:t xml:space="preserve">T-Bills</w:t>
            </w:r>
          </w:p>
        </w:tc>
        <w:tc>
          <w:tcPr/>
          <w:p>
            <w:pPr>
              <w:pStyle w:val="Compact"/>
              <w:jc w:val="left"/>
            </w:pPr>
            <w:r>
              <w:t xml:space="preserve">91, 182, 364 days</w:t>
            </w:r>
          </w:p>
        </w:tc>
        <w:tc>
          <w:tcPr/>
          <w:p>
            <w:pPr>
              <w:pStyle w:val="Compact"/>
              <w:jc w:val="left"/>
            </w:pPr>
            <w:r>
              <w:t xml:space="preserve">Zero-coupon, discount</w:t>
            </w:r>
          </w:p>
        </w:tc>
        <w:tc>
          <w:tcPr/>
          <w:p>
            <w:pPr>
              <w:pStyle w:val="Compact"/>
              <w:jc w:val="left"/>
            </w:pPr>
            <w:r>
              <w:t xml:space="preserve">Actual/365</w:t>
            </w:r>
          </w:p>
        </w:tc>
        <w:tc>
          <w:tcPr/>
          <w:p>
            <w:pPr>
              <w:pStyle w:val="Compact"/>
              <w:jc w:val="left"/>
            </w:pPr>
            <w:r>
              <w:t xml:space="preserve">T+0 to T+2 via BAHTNET</w:t>
            </w:r>
          </w:p>
        </w:tc>
        <w:tc>
          <w:tcPr/>
          <w:p>
            <w:pPr>
              <w:pStyle w:val="Compact"/>
              <w:jc w:val="left"/>
            </w:pPr>
            <w:r>
              <w:t xml:space="preserve">Auction, primary dealers</w:t>
            </w:r>
          </w:p>
        </w:tc>
      </w:tr>
      <w:tr>
        <w:tc>
          <w:tcPr/>
          <w:p>
            <w:pPr>
              <w:pStyle w:val="Compact"/>
              <w:jc w:val="left"/>
            </w:pPr>
            <w:r>
              <w:rPr>
                <w:b/>
                <w:bCs/>
              </w:rPr>
              <w:t xml:space="preserve">T-Bonds</w:t>
            </w:r>
          </w:p>
        </w:tc>
        <w:tc>
          <w:tcPr/>
          <w:p>
            <w:pPr>
              <w:pStyle w:val="Compact"/>
              <w:jc w:val="left"/>
            </w:pPr>
            <w:r>
              <w:t xml:space="preserve">2–50+ years</w:t>
            </w:r>
          </w:p>
        </w:tc>
        <w:tc>
          <w:tcPr/>
          <w:p>
            <w:pPr>
              <w:pStyle w:val="Compact"/>
              <w:jc w:val="left"/>
            </w:pPr>
            <w:r>
              <w:t xml:space="preserve">Fixed or floating, semi-annual typical</w:t>
            </w:r>
          </w:p>
        </w:tc>
        <w:tc>
          <w:tcPr/>
          <w:p>
            <w:pPr>
              <w:pStyle w:val="Compact"/>
              <w:jc w:val="left"/>
            </w:pPr>
            <w:r>
              <w:t xml:space="preserve">Actual/Actual or Actual/365</w:t>
            </w:r>
          </w:p>
        </w:tc>
        <w:tc>
          <w:tcPr/>
          <w:p>
            <w:pPr>
              <w:pStyle w:val="Compact"/>
              <w:jc w:val="left"/>
            </w:pPr>
            <w:r>
              <w:t xml:space="preserve">T+2 via BAHTNET</w:t>
            </w:r>
          </w:p>
        </w:tc>
        <w:tc>
          <w:tcPr/>
          <w:p>
            <w:pPr>
              <w:pStyle w:val="Compact"/>
              <w:jc w:val="left"/>
            </w:pPr>
            <w:r>
              <w:t xml:space="preserve">Auction, primary dealers; secondary OTC</w:t>
            </w:r>
          </w:p>
        </w:tc>
      </w:tr>
    </w:tbl>
    <w:p>
      <w:pPr>
        <w:pStyle w:val="a0"/>
      </w:pPr>
      <w:r>
        <w:rPr>
          <w:b/>
          <w:bCs/>
        </w:rPr>
        <w:t xml:space="preserve">Accounting treatment</w:t>
      </w:r>
      <w:r>
        <w:t xml:space="preserve"> </w:t>
      </w:r>
      <w:r>
        <w:t xml:space="preserve">under TFRS 9 depends on business model:</w:t>
      </w:r>
      <w:r>
        <w:t xml:space="preserve"> </w:t>
      </w:r>
      <w:r>
        <w:rPr>
          <w:b/>
          <w:bCs/>
        </w:rPr>
        <w:t xml:space="preserve">amortized cost</w:t>
      </w:r>
      <w:r>
        <w:t xml:space="preserve"> </w:t>
      </w:r>
      <w:r>
        <w:t xml:space="preserve">for hold-to-collect liquidity buffers;</w:t>
      </w:r>
      <w:r>
        <w:t xml:space="preserve"> </w:t>
      </w:r>
      <w:r>
        <w:rPr>
          <w:b/>
          <w:bCs/>
        </w:rPr>
        <w:t xml:space="preserve">FVOCI</w:t>
      </w:r>
      <w:r>
        <w:t xml:space="preserve"> </w:t>
      </w:r>
      <w:r>
        <w:t xml:space="preserve">for flexible hold-to-collect-and-sell strategies;</w:t>
      </w:r>
      <w:r>
        <w:t xml:space="preserve"> </w:t>
      </w:r>
      <w:r>
        <w:rPr>
          <w:b/>
          <w:bCs/>
        </w:rPr>
        <w:t xml:space="preserve">FVTPL</w:t>
      </w:r>
      <w:r>
        <w:t xml:space="preserve"> </w:t>
      </w:r>
      <w:r>
        <w:t xml:space="preserve">for active trading positions. The system must support</w:t>
      </w:r>
      <w:r>
        <w:t xml:space="preserve"> </w:t>
      </w:r>
      <w:r>
        <w:rPr>
          <w:b/>
          <w:bCs/>
        </w:rPr>
        <w:t xml:space="preserve">effective interest rate calculation</w:t>
      </w:r>
      <w:r>
        <w:t xml:space="preserve">,</w:t>
      </w:r>
      <w:r>
        <w:t xml:space="preserve"> </w:t>
      </w:r>
      <w:r>
        <w:rPr>
          <w:b/>
          <w:bCs/>
        </w:rPr>
        <w:t xml:space="preserve">premium/discount amortization</w:t>
      </w:r>
      <w:r>
        <w:t xml:space="preserve">, and</w:t>
      </w:r>
      <w:r>
        <w:t xml:space="preserve"> </w:t>
      </w:r>
      <w:r>
        <w:rPr>
          <w:b/>
          <w:bCs/>
        </w:rPr>
        <w:t xml:space="preserve">impairment assessment</w:t>
      </w:r>
      <w:r>
        <w:t xml:space="preserve"> </w:t>
      </w:r>
      <w:r>
        <w:t xml:space="preserve">(though government bonds typically qualify for</w:t>
      </w:r>
      <w:r>
        <w:t xml:space="preserve"> </w:t>
      </w:r>
      <w:r>
        <w:rPr>
          <w:b/>
          <w:bCs/>
        </w:rPr>
        <w:t xml:space="preserve">low credit risk exemption</w:t>
      </w:r>
      <w:r>
        <w:t xml:space="preserve"> </w:t>
      </w:r>
      <w:r>
        <w:t xml:space="preserve">under ECL).</w:t>
      </w:r>
    </w:p>
    <w:p>
      <w:pPr>
        <w:pStyle w:val="a0"/>
      </w:pPr>
      <w:r>
        <w:rPr>
          <w:b/>
          <w:bCs/>
        </w:rPr>
        <w:t xml:space="preserve">Collateral eligibility</w:t>
      </w:r>
      <w:r>
        <w:t xml:space="preserve"> </w:t>
      </w:r>
      <w:r>
        <w:t xml:space="preserve">for BOT operations makes government bonds the</w:t>
      </w:r>
      <w:r>
        <w:t xml:space="preserve"> </w:t>
      </w:r>
      <w:r>
        <w:rPr>
          <w:b/>
          <w:bCs/>
        </w:rPr>
        <w:t xml:space="preserve">preferred repo collateral</w:t>
      </w:r>
      <w:r>
        <w:t xml:space="preserve">, with</w:t>
      </w:r>
      <w:r>
        <w:t xml:space="preserve"> </w:t>
      </w:r>
      <w:r>
        <w:rPr>
          <w:b/>
          <w:bCs/>
        </w:rPr>
        <w:t xml:space="preserve">haircuts ranging from 1% (0–5 years) to 5% (&gt;20 years)</w:t>
      </w:r>
      <w:r>
        <w:t xml:space="preserve">. The system must track</w:t>
      </w:r>
      <w:r>
        <w:t xml:space="preserve"> </w:t>
      </w:r>
      <w:r>
        <w:rPr>
          <w:b/>
          <w:bCs/>
        </w:rPr>
        <w:t xml:space="preserve">eligible collateral status</w:t>
      </w:r>
      <w:r>
        <w:t xml:space="preserve"> </w:t>
      </w:r>
      <w:r>
        <w:t xml:space="preserve">dynamically as the BOT updates its acceptable securities list.</w:t>
      </w:r>
    </w:p>
    <w:bookmarkEnd w:id="29"/>
    <w:bookmarkStart w:id="30" w:name="X2171e66ea857dede1be8c0af412f53ed0a6c916"/>
    <w:p>
      <w:pPr>
        <w:pStyle w:val="4"/>
      </w:pPr>
      <w:r>
        <w:t xml:space="preserve">2.1.2 Bank of Thailand Bonds and Bills (BOT Bonds/Bills)</w:t>
      </w:r>
    </w:p>
    <w:p>
      <w:pPr>
        <w:pStyle w:val="FirstParagraph"/>
      </w:pPr>
      <w:r>
        <w:rPr>
          <w:b/>
          <w:bCs/>
        </w:rPr>
        <w:t xml:space="preserve">BOT securities</w:t>
      </w:r>
      <w:r>
        <w:t xml:space="preserve"> </w:t>
      </w:r>
      <w:r>
        <w:t xml:space="preserve">serve</w:t>
      </w:r>
      <w:r>
        <w:t xml:space="preserve"> </w:t>
      </w:r>
      <w:r>
        <w:rPr>
          <w:b/>
          <w:bCs/>
        </w:rPr>
        <w:t xml:space="preserve">monetary policy implementation</w:t>
      </w:r>
      <w:r>
        <w:t xml:space="preserve"> </w:t>
      </w:r>
      <w:r>
        <w:t xml:space="preserve">and provide</w:t>
      </w:r>
      <w:r>
        <w:t xml:space="preserve"> </w:t>
      </w:r>
      <w:r>
        <w:rPr>
          <w:b/>
          <w:bCs/>
        </w:rPr>
        <w:t xml:space="preserve">additional risk-free investment options</w:t>
      </w:r>
      <w:r>
        <w:t xml:space="preserve">.</w:t>
      </w:r>
      <w:r>
        <w:t xml:space="preserve"> </w:t>
      </w:r>
      <w:r>
        <w:rPr>
          <w:b/>
          <w:bCs/>
        </w:rPr>
        <w:t xml:space="preserve">BOT bonds</w:t>
      </w:r>
      <w:r>
        <w:t xml:space="preserve"> </w:t>
      </w:r>
      <w:r>
        <w:t xml:space="preserve">(1–2 years) and</w:t>
      </w:r>
      <w:r>
        <w:t xml:space="preserve"> </w:t>
      </w:r>
      <w:r>
        <w:rPr>
          <w:b/>
          <w:bCs/>
        </w:rPr>
        <w:t xml:space="preserve">BOT bills</w:t>
      </w:r>
      <w:r>
        <w:t xml:space="preserve"> </w:t>
      </w:r>
      <w:r>
        <w:t xml:space="preserve">(&lt;1 year) are auctioned</w:t>
      </w:r>
      <w:r>
        <w:t xml:space="preserve"> </w:t>
      </w:r>
      <w:r>
        <w:rPr>
          <w:b/>
          <w:bCs/>
        </w:rPr>
        <w:t xml:space="preserve">on Tuesdays</w:t>
      </w:r>
      <w:r>
        <w:t xml:space="preserve"> </w:t>
      </w:r>
      <w:r>
        <w:t xml:space="preserve">using</w:t>
      </w:r>
      <w:r>
        <w:t xml:space="preserve"> </w:t>
      </w:r>
      <w:r>
        <w:rPr>
          <w:b/>
          <w:bCs/>
        </w:rPr>
        <w:t xml:space="preserve">multiple-price formats</w:t>
      </w:r>
      <w:r>
        <w:t xml:space="preserve">. These instruments are</w:t>
      </w:r>
      <w:r>
        <w:t xml:space="preserve"> </w:t>
      </w:r>
      <w:r>
        <w:rPr>
          <w:b/>
          <w:bCs/>
        </w:rPr>
        <w:t xml:space="preserve">actively used in BOT bilateral repo operations</w:t>
      </w:r>
      <w:r>
        <w:t xml:space="preserve">, which accounted for</w:t>
      </w:r>
      <w:r>
        <w:t xml:space="preserve"> </w:t>
      </w:r>
      <w:r>
        <w:rPr>
          <w:b/>
          <w:bCs/>
        </w:rPr>
        <w:t xml:space="preserve">~85% of total repo market volume (THB 166 trillion)</w:t>
      </w:r>
      <w:r>
        <w:t xml:space="preserve"> </w:t>
      </w:r>
      <w:r>
        <w:t xml:space="preserve">in 2013.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BOT Operation</w:t>
            </w:r>
          </w:p>
        </w:tc>
        <w:tc>
          <w:tcPr/>
          <w:p>
            <w:pPr>
              <w:pStyle w:val="Compact"/>
              <w:jc w:val="left"/>
            </w:pPr>
            <w:r>
              <w:rPr>
                <w:b/>
                <w:bCs/>
              </w:rPr>
              <w:t xml:space="preserve">Purpose</w:t>
            </w:r>
          </w:p>
        </w:tc>
        <w:tc>
          <w:tcPr/>
          <w:p>
            <w:pPr>
              <w:pStyle w:val="Compact"/>
              <w:jc w:val="left"/>
            </w:pPr>
            <w:r>
              <w:rPr>
                <w:b/>
                <w:bCs/>
              </w:rPr>
              <w:t xml:space="preserve">Typical Tenor</w:t>
            </w:r>
          </w:p>
        </w:tc>
        <w:tc>
          <w:tcPr/>
          <w:p>
            <w:pPr>
              <w:pStyle w:val="Compact"/>
              <w:jc w:val="left"/>
            </w:pPr>
            <w:r>
              <w:rPr>
                <w:b/>
                <w:bCs/>
              </w:rPr>
              <w:t xml:space="preserve">Rate Benchmark</w:t>
            </w:r>
          </w:p>
        </w:tc>
      </w:tr>
      <w:tr>
        <w:tc>
          <w:tcPr/>
          <w:p>
            <w:pPr>
              <w:pStyle w:val="Compact"/>
              <w:jc w:val="left"/>
            </w:pPr>
            <w:r>
              <w:t xml:space="preserve">Bilateral repo (bank borrows from BOT)</w:t>
            </w:r>
          </w:p>
        </w:tc>
        <w:tc>
          <w:tcPr/>
          <w:p>
            <w:pPr>
              <w:pStyle w:val="Compact"/>
              <w:jc w:val="left"/>
            </w:pPr>
            <w:r>
              <w:t xml:space="preserve">Liquidity injection to banking system</w:t>
            </w:r>
          </w:p>
        </w:tc>
        <w:tc>
          <w:tcPr/>
          <w:p>
            <w:pPr>
              <w:pStyle w:val="Compact"/>
              <w:jc w:val="left"/>
            </w:pPr>
            <w:r>
              <w:t xml:space="preserve">Overnight–1 month</w:t>
            </w:r>
          </w:p>
        </w:tc>
        <w:tc>
          <w:tcPr/>
          <w:p>
            <w:pPr>
              <w:pStyle w:val="Compact"/>
              <w:jc w:val="left"/>
            </w:pPr>
            <w:r>
              <w:t xml:space="preserve">Policy rate-linked</w:t>
            </w:r>
          </w:p>
        </w:tc>
      </w:tr>
      <w:tr>
        <w:tc>
          <w:tcPr/>
          <w:p>
            <w:pPr>
              <w:pStyle w:val="Compact"/>
              <w:jc w:val="left"/>
            </w:pPr>
            <w:r>
              <w:t xml:space="preserve">Bilateral reverse repo (bank lends to BOT)</w:t>
            </w:r>
          </w:p>
        </w:tc>
        <w:tc>
          <w:tcPr/>
          <w:p>
            <w:pPr>
              <w:pStyle w:val="Compact"/>
              <w:jc w:val="left"/>
            </w:pPr>
            <w:r>
              <w:t xml:space="preserve">Liquidity absorption, cash deployment</w:t>
            </w:r>
          </w:p>
        </w:tc>
        <w:tc>
          <w:tcPr/>
          <w:p>
            <w:pPr>
              <w:pStyle w:val="Compact"/>
              <w:jc w:val="left"/>
            </w:pPr>
            <w:r>
              <w:t xml:space="preserve">Overnight–1 month</w:t>
            </w:r>
          </w:p>
        </w:tc>
        <w:tc>
          <w:tcPr/>
          <w:p>
            <w:pPr>
              <w:pStyle w:val="Compact"/>
              <w:jc w:val="left"/>
            </w:pPr>
            <w:r>
              <w:t xml:space="preserve">Policy rate-linked</w:t>
            </w:r>
          </w:p>
        </w:tc>
      </w:tr>
      <w:tr>
        <w:tc>
          <w:tcPr/>
          <w:p>
            <w:pPr>
              <w:pStyle w:val="Compact"/>
              <w:jc w:val="left"/>
            </w:pPr>
            <w:r>
              <w:t xml:space="preserve">BOT bond/bill auction</w:t>
            </w:r>
          </w:p>
        </w:tc>
        <w:tc>
          <w:tcPr/>
          <w:p>
            <w:pPr>
              <w:pStyle w:val="Compact"/>
              <w:jc w:val="left"/>
            </w:pPr>
            <w:r>
              <w:t xml:space="preserve">Monetary policy signaling, yield curve influence</w:t>
            </w:r>
          </w:p>
        </w:tc>
        <w:tc>
          <w:tcPr/>
          <w:p>
            <w:pPr>
              <w:pStyle w:val="Compact"/>
              <w:jc w:val="left"/>
            </w:pPr>
            <w:r>
              <w:t xml:space="preserve">1–2 years (bonds); &lt;1 year (bills)</w:t>
            </w:r>
          </w:p>
        </w:tc>
        <w:tc>
          <w:tcPr/>
          <w:p>
            <w:pPr>
              <w:pStyle w:val="Compact"/>
              <w:jc w:val="left"/>
            </w:pPr>
            <w:r>
              <w:t xml:space="preserve">Market-determined auction</w:t>
            </w:r>
          </w:p>
        </w:tc>
      </w:tr>
    </w:tbl>
    <w:p>
      <w:pPr>
        <w:pStyle w:val="a0"/>
      </w:pPr>
      <w:r>
        <w:t xml:space="preserve">The system must support</w:t>
      </w:r>
      <w:r>
        <w:t xml:space="preserve"> </w:t>
      </w:r>
      <w:r>
        <w:rPr>
          <w:b/>
          <w:bCs/>
        </w:rPr>
        <w:t xml:space="preserve">complete repo auction lifecycle</w:t>
      </w:r>
      <w:r>
        <w:t xml:space="preserve">: announcement parsing, bid preparation with</w:t>
      </w:r>
      <w:r>
        <w:t xml:space="preserve"> </w:t>
      </w:r>
      <w:r>
        <w:rPr>
          <w:b/>
          <w:bCs/>
        </w:rPr>
        <w:t xml:space="preserve">collateral optimization</w:t>
      </w:r>
      <w:r>
        <w:t xml:space="preserve"> </w:t>
      </w:r>
      <w:r>
        <w:t xml:space="preserve">(considering haircuts and liquidity needs), submission, allocation processing, and</w:t>
      </w:r>
      <w:r>
        <w:t xml:space="preserve"> </w:t>
      </w:r>
      <w:r>
        <w:rPr>
          <w:b/>
          <w:bCs/>
        </w:rPr>
        <w:t xml:space="preserve">collateral transfer/settlement tracking</w:t>
      </w:r>
      <w:r>
        <w:t xml:space="preserve">.</w:t>
      </w:r>
      <w:r>
        <w:t xml:space="preserve"> </w:t>
      </w:r>
      <w:r>
        <w:rPr>
          <w:b/>
          <w:bCs/>
        </w:rPr>
        <w:t xml:space="preserve">Haircut matrices</w:t>
      </w:r>
      <w:r>
        <w:t xml:space="preserve"> </w:t>
      </w:r>
      <w:r>
        <w:t xml:space="preserve">for BOT operations must be dynamically applied</w:t>
      </w:r>
      <w:r>
        <w:t xml:space="preserve"> </w:t>
      </w:r>
      <w:r>
        <w:t xml:space="preserve">- |</w:t>
      </w:r>
      <w:r>
        <w:t xml:space="preserve"> </w:t>
      </w:r>
      <w:r>
        <w:rPr>
          <w:b/>
          <w:bCs/>
        </w:rPr>
        <w:t xml:space="preserve">Collateral Type</w:t>
      </w:r>
      <w:r>
        <w:t xml:space="preserve"> </w:t>
      </w:r>
      <w:r>
        <w:t xml:space="preserve">|</w:t>
      </w:r>
      <w:r>
        <w:t xml:space="preserve"> </w:t>
      </w:r>
      <w:r>
        <w:rPr>
          <w:b/>
          <w:bCs/>
        </w:rPr>
        <w:t xml:space="preserve">0–5 Years</w:t>
      </w:r>
      <w:r>
        <w:t xml:space="preserve"> </w:t>
      </w:r>
      <w:r>
        <w:t xml:space="preserve">|</w:t>
      </w:r>
      <w:r>
        <w:t xml:space="preserve"> </w:t>
      </w:r>
      <w:r>
        <w:rPr>
          <w:b/>
          <w:bCs/>
        </w:rPr>
        <w:t xml:space="preserve">5–10 Years</w:t>
      </w:r>
      <w:r>
        <w:t xml:space="preserve"> </w:t>
      </w:r>
      <w:r>
        <w:t xml:space="preserve">|</w:t>
      </w:r>
      <w:r>
        <w:t xml:space="preserve"> </w:t>
      </w:r>
      <w:r>
        <w:rPr>
          <w:b/>
          <w:bCs/>
        </w:rPr>
        <w:t xml:space="preserve">10–20 Years</w:t>
      </w:r>
      <w:r>
        <w:t xml:space="preserve"> </w:t>
      </w:r>
      <w:r>
        <w:t xml:space="preserve">|</w:t>
      </w:r>
      <w:r>
        <w:t xml:space="preserve"> </w:t>
      </w:r>
      <w:r>
        <w:rPr>
          <w:b/>
          <w:bCs/>
        </w:rPr>
        <w:t xml:space="preserve">&gt;20 Years</w:t>
      </w:r>
      <w:r>
        <w:t xml:space="preserve"> </w:t>
      </w:r>
      <w:r>
        <w:t xml:space="preserve">|</w:t>
      </w:r>
      <w:r>
        <w:t xml:space="preserve"> </w:t>
      </w:r>
      <w:r>
        <w:t xml:space="preserve">|:—|:—|:—|:—|:—|</w:t>
      </w:r>
      <w:r>
        <w:t xml:space="preserve"> </w:t>
      </w:r>
      <w:r>
        <w:t xml:space="preserve">| Government bonds | 1% | 3% | 4% | 5% |</w:t>
      </w:r>
      <w:r>
        <w:t xml:space="preserve"> </w:t>
      </w:r>
      <w:r>
        <w:t xml:space="preserve">| BOT bonds/bills | 1% | 3% | 4% | 5% |</w:t>
      </w:r>
      <w:r>
        <w:t xml:space="preserve"> </w:t>
      </w:r>
      <w:r>
        <w:t xml:space="preserve">| SOE bonds (guaranteed) | 1% | 3% | 4% | 5% |</w:t>
      </w:r>
      <w:r>
        <w:t xml:space="preserve"> </w:t>
      </w:r>
      <w:r>
        <w:t xml:space="preserve">| Corporate bonds (AAA) | 5% | 10% | 15% | 20% |</w:t>
      </w:r>
      <w:r>
        <w:t xml:space="preserve"> </w:t>
      </w:r>
      <w:r>
        <w:t xml:space="preserve">| Corporate bonds (AA) | 10% | 15% | 20% | 25% |</w:t>
      </w:r>
      <w:r>
        <w:t xml:space="preserve"> </w:t>
      </w:r>
      <w:r>
        <w:t xml:space="preserve">| Corporate bonds (A) | 15% | 20% | 25% | 30% |</w:t>
      </w:r>
      <w:r>
        <w:t xml:space="preserve"> </w:t>
      </w:r>
      <w:r>
        <w:t xml:space="preserve">| Corporate bonds (BBB) | 20% | 25% | 30% | 35% |</w:t>
      </w:r>
    </w:p>
    <w:bookmarkEnd w:id="30"/>
    <w:bookmarkEnd w:id="31"/>
    <w:bookmarkStart w:id="34" w:name="quasi-sovereign-instruments"/>
    <w:p>
      <w:pPr>
        <w:pStyle w:val="3"/>
      </w:pPr>
      <w:r>
        <w:t xml:space="preserve">2.2 Quasi-Sovereign Instruments</w:t>
      </w:r>
    </w:p>
    <w:bookmarkStart w:id="32" w:name="state-owned-enterprise-bonds-soe-bonds"/>
    <w:p>
      <w:pPr>
        <w:pStyle w:val="4"/>
      </w:pPr>
      <w:r>
        <w:t xml:space="preserve">2.2.1 State-Owned Enterprise Bonds (SOE Bonds)</w:t>
      </w:r>
    </w:p>
    <w:p>
      <w:pPr>
        <w:pStyle w:val="FirstParagraph"/>
      </w:pPr>
      <w:r>
        <w:rPr>
          <w:b/>
          <w:bCs/>
        </w:rPr>
        <w:t xml:space="preserve">SOE bonds</w:t>
      </w:r>
      <w:r>
        <w:t xml:space="preserve"> </w:t>
      </w:r>
      <w:r>
        <w:t xml:space="preserve">represent</w:t>
      </w:r>
      <w:r>
        <w:t xml:space="preserve"> </w:t>
      </w:r>
      <w:r>
        <w:rPr>
          <w:b/>
          <w:bCs/>
        </w:rPr>
        <w:t xml:space="preserve">quasi-sovereign credit risk</w:t>
      </w:r>
      <w:r>
        <w:t xml:space="preserve"> </w:t>
      </w:r>
      <w:r>
        <w:t xml:space="preserve">with</w:t>
      </w:r>
      <w:r>
        <w:t xml:space="preserve"> </w:t>
      </w:r>
      <w:r>
        <w:rPr>
          <w:b/>
          <w:bCs/>
        </w:rPr>
        <w:t xml:space="preserve">implicit or explicit government guarantees</w:t>
      </w:r>
      <w:r>
        <w:t xml:space="preserve">. Major issuers include</w:t>
      </w:r>
      <w:r>
        <w:t xml:space="preserve"> </w:t>
      </w:r>
      <w:r>
        <w:rPr>
          <w:b/>
          <w:bCs/>
        </w:rPr>
        <w:t xml:space="preserve">EGAT, MEA, PEA, State Railway of Thailand</w:t>
      </w:r>
      <w:r>
        <w:t xml:space="preserve">, and other government-controlled entities.</w:t>
      </w:r>
      <w:r>
        <w:t xml:space="preserve"> </w:t>
      </w:r>
      <w:r>
        <w:rPr>
          <w:b/>
          <w:bCs/>
        </w:rPr>
        <w:t xml:space="preserve">SOE bond outstanding</w:t>
      </w:r>
      <w:r>
        <w:t xml:space="preserve"> </w:t>
      </w:r>
      <w:r>
        <w:t xml:space="preserve">was</w:t>
      </w:r>
      <w:r>
        <w:t xml:space="preserve"> </w:t>
      </w:r>
      <w:r>
        <w:rPr>
          <w:b/>
          <w:bCs/>
        </w:rPr>
        <w:t xml:space="preserve">THB 1,033,961.78 million</w:t>
      </w:r>
      <w:r>
        <w:t xml:space="preserve"> </w:t>
      </w:r>
      <w:r>
        <w:t xml:space="preserve">as of recent public debt statistics.</w:t>
      </w:r>
    </w:p>
    <w:p>
      <w:pPr>
        <w:pStyle w:val="a0"/>
      </w:pPr>
      <w:r>
        <w:rPr>
          <w:b/>
          <w:bCs/>
        </w:rPr>
        <w:t xml:space="preserve">Key characteristics</w:t>
      </w:r>
      <w:r>
        <w:t xml:space="preserve"> </w:t>
      </w:r>
      <w:r>
        <w:t xml:space="preserve">requiring system support: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Feature</w:t>
            </w:r>
          </w:p>
        </w:tc>
        <w:tc>
          <w:tcPr/>
          <w:p>
            <w:pPr>
              <w:pStyle w:val="Compact"/>
              <w:jc w:val="left"/>
            </w:pPr>
            <w:r>
              <w:rPr>
                <w:b/>
                <w:bCs/>
              </w:rPr>
              <w:t xml:space="preserve">System Implication</w:t>
            </w:r>
          </w:p>
        </w:tc>
      </w:tr>
      <w:tr>
        <w:tc>
          <w:tcPr/>
          <w:p>
            <w:pPr>
              <w:pStyle w:val="Compact"/>
              <w:jc w:val="left"/>
            </w:pPr>
            <w:r>
              <w:rPr>
                <w:b/>
                <w:bCs/>
              </w:rPr>
              <w:t xml:space="preserve">Government guarantee</w:t>
            </w:r>
            <w:r>
              <w:t xml:space="preserve"> </w:t>
            </w:r>
            <w:r>
              <w:t xml:space="preserve">(typical)</w:t>
            </w:r>
          </w:p>
        </w:tc>
        <w:tc>
          <w:tcPr/>
          <w:p>
            <w:pPr>
              <w:pStyle w:val="Compact"/>
              <w:jc w:val="left"/>
            </w:pPr>
            <w:r>
              <w:t xml:space="preserve">Track guarantee terms, claim procedures; sovereign-equivalent risk weight for capital</w:t>
            </w:r>
          </w:p>
        </w:tc>
      </w:tr>
      <w:tr>
        <w:tc>
          <w:tcPr/>
          <w:p>
            <w:pPr>
              <w:pStyle w:val="Compact"/>
              <w:jc w:val="left"/>
            </w:pPr>
            <w:r>
              <w:rPr>
                <w:b/>
                <w:bCs/>
              </w:rPr>
              <w:t xml:space="preserve">Single-price auction (Thursdays)</w:t>
            </w:r>
          </w:p>
        </w:tc>
        <w:tc>
          <w:tcPr/>
          <w:p>
            <w:pPr>
              <w:pStyle w:val="Compact"/>
              <w:jc w:val="left"/>
            </w:pPr>
            <w:r>
              <w:t xml:space="preserve">Distinct auction workflow from multiple-price government bond auctions</w:t>
            </w:r>
          </w:p>
        </w:tc>
      </w:tr>
      <w:tr>
        <w:tc>
          <w:tcPr/>
          <w:p>
            <w:pPr>
              <w:pStyle w:val="Compact"/>
              <w:jc w:val="left"/>
            </w:pPr>
            <w:r>
              <w:rPr>
                <w:b/>
                <w:bCs/>
              </w:rPr>
              <w:t xml:space="preserve">BOT registrar settlement</w:t>
            </w:r>
          </w:p>
        </w:tc>
        <w:tc>
          <w:tcPr/>
          <w:p>
            <w:pPr>
              <w:pStyle w:val="Compact"/>
              <w:jc w:val="left"/>
            </w:pPr>
            <w:r>
              <w:t xml:space="preserve">BAHTNET integration similar to government bonds</w:t>
            </w:r>
          </w:p>
        </w:tc>
      </w:tr>
      <w:tr>
        <w:tc>
          <w:tcPr/>
          <w:p>
            <w:pPr>
              <w:pStyle w:val="Compact"/>
              <w:jc w:val="left"/>
            </w:pPr>
            <w:r>
              <w:rPr>
                <w:b/>
                <w:bCs/>
              </w:rPr>
              <w:t xml:space="preserve">Preferential haircut treatment</w:t>
            </w:r>
          </w:p>
        </w:tc>
        <w:tc>
          <w:tcPr/>
          <w:p>
            <w:pPr>
              <w:pStyle w:val="Compact"/>
              <w:jc w:val="left"/>
            </w:pPr>
            <w:r>
              <w:t xml:space="preserve">Same as government bonds: 1–5% by maturity</w:t>
            </w:r>
          </w:p>
        </w:tc>
      </w:tr>
      <w:tr>
        <w:tc>
          <w:tcPr/>
          <w:p>
            <w:pPr>
              <w:pStyle w:val="Compact"/>
              <w:jc w:val="left"/>
            </w:pPr>
            <w:r>
              <w:rPr>
                <w:b/>
                <w:bCs/>
              </w:rPr>
              <w:t xml:space="preserve">Yield pickup over sovereign</w:t>
            </w:r>
          </w:p>
        </w:tc>
        <w:tc>
          <w:tcPr/>
          <w:p>
            <w:pPr>
              <w:pStyle w:val="Compact"/>
              <w:jc w:val="left"/>
            </w:pPr>
            <w:r>
              <w:t xml:space="preserve">Relative value analytics, spread monitoring</w:t>
            </w:r>
          </w:p>
        </w:tc>
      </w:tr>
    </w:tbl>
    <w:p>
      <w:pPr>
        <w:pStyle w:val="a0"/>
      </w:pPr>
      <w:r>
        <w:t xml:space="preserve">Despite government backing, the system must maintain</w:t>
      </w:r>
      <w:r>
        <w:t xml:space="preserve"> </w:t>
      </w:r>
      <w:r>
        <w:rPr>
          <w:b/>
          <w:bCs/>
        </w:rPr>
        <w:t xml:space="preserve">independent credit monitoring</w:t>
      </w:r>
      <w:r>
        <w:t xml:space="preserve"> </w:t>
      </w:r>
      <w:r>
        <w:t xml:space="preserve">of underlying SOE financial performance as</w:t>
      </w:r>
      <w:r>
        <w:t xml:space="preserve"> </w:t>
      </w:r>
      <w:r>
        <w:rPr>
          <w:b/>
          <w:bCs/>
        </w:rPr>
        <w:t xml:space="preserve">early warning indicators</w:t>
      </w:r>
      <w:r>
        <w:t xml:space="preserve"> </w:t>
      </w:r>
      <w:r>
        <w:t xml:space="preserve">for potential guarantee invocation scenarios.</w:t>
      </w:r>
    </w:p>
    <w:bookmarkEnd w:id="32"/>
    <w:bookmarkStart w:id="33" w:name="X98ce65b551ce762685920d0284cbf058efdffbf"/>
    <w:p>
      <w:pPr>
        <w:pStyle w:val="4"/>
      </w:pPr>
      <w:r>
        <w:t xml:space="preserve">2.2.2 Government-Guaranteed Corporate Obligations</w:t>
      </w:r>
    </w:p>
    <w:p>
      <w:pPr>
        <w:pStyle w:val="FirstParagraph"/>
      </w:pPr>
      <w:r>
        <w:t xml:space="preserve">Certain</w:t>
      </w:r>
      <w:r>
        <w:t xml:space="preserve"> </w:t>
      </w:r>
      <w:r>
        <w:rPr>
          <w:b/>
          <w:bCs/>
        </w:rPr>
        <w:t xml:space="preserve">corporate obligations carry explicit government guarantees</w:t>
      </w:r>
      <w:r>
        <w:t xml:space="preserve">, typically under</w:t>
      </w:r>
      <w:r>
        <w:t xml:space="preserve"> </w:t>
      </w:r>
      <w:r>
        <w:rPr>
          <w:b/>
          <w:bCs/>
        </w:rPr>
        <w:t xml:space="preserve">specific government programs</w:t>
      </w:r>
      <w:r>
        <w:t xml:space="preserve"> </w:t>
      </w:r>
      <w:r>
        <w:t xml:space="preserve">supporting strategic industries. The system must:</w:t>
      </w:r>
    </w:p>
    <w:p>
      <w:pPr>
        <w:numPr>
          <w:ilvl w:val="0"/>
          <w:numId w:val="1001"/>
        </w:numPr>
      </w:pPr>
      <w:r>
        <w:rPr>
          <w:b/>
          <w:bCs/>
        </w:rPr>
        <w:t xml:space="preserve">Bifurcate treatment</w:t>
      </w:r>
      <w:r>
        <w:t xml:space="preserve">: guaranteed portion as sovereign risk; unguaranteed portion as corporate credit risk</w:t>
      </w:r>
    </w:p>
    <w:p>
      <w:pPr>
        <w:numPr>
          <w:ilvl w:val="0"/>
          <w:numId w:val="1001"/>
        </w:numPr>
      </w:pPr>
      <w:r>
        <w:rPr>
          <w:b/>
          <w:bCs/>
        </w:rPr>
        <w:t xml:space="preserve">Document guarantee terms</w:t>
      </w:r>
      <w:r>
        <w:t xml:space="preserve">: coverage percentage, expiration, conditions precedent, claim procedures</w:t>
      </w:r>
    </w:p>
    <w:p>
      <w:pPr>
        <w:numPr>
          <w:ilvl w:val="0"/>
          <w:numId w:val="1001"/>
        </w:numPr>
      </w:pPr>
      <w:r>
        <w:rPr>
          <w:b/>
          <w:bCs/>
        </w:rPr>
        <w:t xml:space="preserve">Track substitution history</w:t>
      </w:r>
      <w:r>
        <w:t xml:space="preserve"> </w:t>
      </w:r>
      <w:r>
        <w:t xml:space="preserve">if collateral changes</w:t>
      </w:r>
    </w:p>
    <w:bookmarkEnd w:id="33"/>
    <w:bookmarkEnd w:id="34"/>
    <w:bookmarkStart w:id="37" w:name="private-sector-debt-instruments"/>
    <w:p>
      <w:pPr>
        <w:pStyle w:val="3"/>
      </w:pPr>
      <w:r>
        <w:t xml:space="preserve">2.3 Private Sector Debt Instruments</w:t>
      </w:r>
    </w:p>
    <w:bookmarkStart w:id="35" w:name="corporate-bonds-investment-grade"/>
    <w:p>
      <w:pPr>
        <w:pStyle w:val="4"/>
      </w:pPr>
      <w:r>
        <w:t xml:space="preserve">2.3.1 Corporate Bonds (Investment Grade)</w:t>
      </w:r>
    </w:p>
    <w:p>
      <w:pPr>
        <w:pStyle w:val="FirstParagraph"/>
      </w:pPr>
      <w:r>
        <w:rPr>
          <w:b/>
          <w:bCs/>
        </w:rPr>
        <w:t xml:space="preserve">Corporate bonds</w:t>
      </w:r>
      <w:r>
        <w:t xml:space="preserve"> </w:t>
      </w:r>
      <w:r>
        <w:t xml:space="preserve">provide</w:t>
      </w:r>
      <w:r>
        <w:t xml:space="preserve"> </w:t>
      </w:r>
      <w:r>
        <w:rPr>
          <w:b/>
          <w:bCs/>
        </w:rPr>
        <w:t xml:space="preserve">credit spread income</w:t>
      </w:r>
      <w:r>
        <w:t xml:space="preserve"> </w:t>
      </w:r>
      <w:r>
        <w:t xml:space="preserve">with</w:t>
      </w:r>
      <w:r>
        <w:t xml:space="preserve"> </w:t>
      </w:r>
      <w:r>
        <w:rPr>
          <w:b/>
          <w:bCs/>
        </w:rPr>
        <w:t xml:space="preserve">rating-diverse exposure</w:t>
      </w:r>
      <w:r>
        <w:t xml:space="preserve">. The Thai corporate bond market has grown substantially, with</w:t>
      </w:r>
      <w:r>
        <w:t xml:space="preserve"> </w:t>
      </w:r>
      <w:r>
        <w:rPr>
          <w:b/>
          <w:bCs/>
        </w:rPr>
        <w:t xml:space="preserve">average annual issuances rising from 112 (2015–2019) to 139 (2020–2024)</w:t>
      </w:r>
      <w:r>
        <w:t xml:space="preserve"> </w:t>
      </w:r>
      <w:r>
        <w:t xml:space="preserve">and</w:t>
      </w:r>
      <w:r>
        <w:t xml:space="preserve"> </w:t>
      </w:r>
      <w:r>
        <w:rPr>
          <w:b/>
          <w:bCs/>
        </w:rPr>
        <w:t xml:space="preserve">outstanding reaching USD 166 billion by end-2024</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Issuance Channel</w:t>
            </w:r>
          </w:p>
        </w:tc>
        <w:tc>
          <w:tcPr/>
          <w:p>
            <w:pPr>
              <w:pStyle w:val="Compact"/>
              <w:jc w:val="left"/>
            </w:pPr>
            <w:r>
              <w:rPr>
                <w:b/>
                <w:bCs/>
              </w:rPr>
              <w:t xml:space="preserve">Regulatory Requirements</w:t>
            </w:r>
          </w:p>
        </w:tc>
        <w:tc>
          <w:tcPr/>
          <w:p>
            <w:pPr>
              <w:pStyle w:val="Compact"/>
              <w:jc w:val="left"/>
            </w:pPr>
            <w:r>
              <w:rPr>
                <w:b/>
                <w:bCs/>
              </w:rPr>
              <w:t xml:space="preserve">Typical Investors</w:t>
            </w:r>
          </w:p>
        </w:tc>
        <w:tc>
          <w:tcPr/>
          <w:p>
            <w:pPr>
              <w:pStyle w:val="Compact"/>
              <w:jc w:val="left"/>
            </w:pPr>
            <w:r>
              <w:rPr>
                <w:b/>
                <w:bCs/>
              </w:rPr>
              <w:t xml:space="preserve">System Support Needed</w:t>
            </w:r>
          </w:p>
        </w:tc>
      </w:tr>
      <w:tr>
        <w:tc>
          <w:tcPr/>
          <w:p>
            <w:pPr>
              <w:pStyle w:val="Compact"/>
              <w:jc w:val="left"/>
            </w:pPr>
            <w:r>
              <w:rPr>
                <w:b/>
                <w:bCs/>
              </w:rPr>
              <w:t xml:space="preserve">Public offering</w:t>
            </w:r>
          </w:p>
        </w:tc>
        <w:tc>
          <w:tcPr/>
          <w:p>
            <w:pPr>
              <w:pStyle w:val="Compact"/>
              <w:jc w:val="left"/>
            </w:pPr>
            <w:r>
              <w:t xml:space="preserve">SEC approval, full disclosure, investment-grade rating</w:t>
            </w:r>
          </w:p>
        </w:tc>
        <w:tc>
          <w:tcPr/>
          <w:p>
            <w:pPr>
              <w:pStyle w:val="Compact"/>
              <w:jc w:val="left"/>
            </w:pPr>
            <w:r>
              <w:t xml:space="preserve">Institutions, retail</w:t>
            </w:r>
          </w:p>
        </w:tc>
        <w:tc>
          <w:tcPr/>
          <w:p>
            <w:pPr>
              <w:pStyle w:val="Compact"/>
              <w:jc w:val="left"/>
            </w:pPr>
            <w:r>
              <w:t xml:space="preserve">Comprehensive disclosure tracking, rating integration</w:t>
            </w:r>
          </w:p>
        </w:tc>
      </w:tr>
      <w:tr>
        <w:tc>
          <w:tcPr/>
          <w:p>
            <w:pPr>
              <w:pStyle w:val="Compact"/>
              <w:jc w:val="left"/>
            </w:pPr>
            <w:r>
              <w:rPr>
                <w:b/>
                <w:bCs/>
              </w:rPr>
              <w:t xml:space="preserve">PP-10</w:t>
            </w:r>
            <w:r>
              <w:t xml:space="preserve"> </w:t>
            </w:r>
            <w:r>
              <w:t xml:space="preserve">(≤10 investors, 4-month period)</w:t>
            </w:r>
          </w:p>
        </w:tc>
        <w:tc>
          <w:tcPr/>
          <w:p>
            <w:pPr>
              <w:pStyle w:val="Compact"/>
              <w:jc w:val="left"/>
            </w:pPr>
            <w:r>
              <w:t xml:space="preserve">No SEC approval</w:t>
            </w:r>
          </w:p>
        </w:tc>
        <w:tc>
          <w:tcPr/>
          <w:p>
            <w:pPr>
              <w:pStyle w:val="Compact"/>
              <w:jc w:val="left"/>
            </w:pPr>
            <w:r>
              <w:t xml:space="preserve">Sophisticated investors</w:t>
            </w:r>
          </w:p>
        </w:tc>
        <w:tc>
          <w:tcPr/>
          <w:p>
            <w:pPr>
              <w:pStyle w:val="Compact"/>
              <w:jc w:val="left"/>
            </w:pPr>
            <w:r>
              <w:t xml:space="preserve">Investor count tracking, transfer restriction monitoring</w:t>
            </w:r>
          </w:p>
        </w:tc>
      </w:tr>
      <w:tr>
        <w:tc>
          <w:tcPr/>
          <w:p>
            <w:pPr>
              <w:pStyle w:val="Compact"/>
              <w:jc w:val="left"/>
            </w:pPr>
            <w:r>
              <w:rPr>
                <w:b/>
                <w:bCs/>
              </w:rPr>
              <w:t xml:space="preserve">PP-II</w:t>
            </w:r>
            <w:r>
              <w:t xml:space="preserve"> </w:t>
            </w:r>
            <w:r>
              <w:t xml:space="preserve">(institutional investors)</w:t>
            </w:r>
          </w:p>
        </w:tc>
        <w:tc>
          <w:tcPr/>
          <w:p>
            <w:pPr>
              <w:pStyle w:val="Compact"/>
              <w:jc w:val="left"/>
            </w:pPr>
            <w:r>
              <w:t xml:space="preserve">SEC approval, additional disclosure</w:t>
            </w:r>
          </w:p>
        </w:tc>
        <w:tc>
          <w:tcPr/>
          <w:p>
            <w:pPr>
              <w:pStyle w:val="Compact"/>
              <w:jc w:val="left"/>
            </w:pPr>
            <w:r>
              <w:t xml:space="preserve">Qualified institutions</w:t>
            </w:r>
          </w:p>
        </w:tc>
        <w:tc>
          <w:tcPr/>
          <w:p>
            <w:pPr>
              <w:pStyle w:val="Compact"/>
              <w:jc w:val="left"/>
            </w:pPr>
            <w:r>
              <w:t xml:space="preserve">Investor qualification verification</w:t>
            </w:r>
          </w:p>
        </w:tc>
      </w:tr>
      <w:tr>
        <w:tc>
          <w:tcPr/>
          <w:p>
            <w:pPr>
              <w:pStyle w:val="Compact"/>
              <w:jc w:val="left"/>
            </w:pPr>
            <w:r>
              <w:rPr>
                <w:b/>
                <w:bCs/>
              </w:rPr>
              <w:t xml:space="preserve">PP-HNWI</w:t>
            </w:r>
            <w:r>
              <w:t xml:space="preserve"> </w:t>
            </w:r>
            <w:r>
              <w:t xml:space="preserve">(high net worth)</w:t>
            </w:r>
          </w:p>
        </w:tc>
        <w:tc>
          <w:tcPr/>
          <w:p>
            <w:pPr>
              <w:pStyle w:val="Compact"/>
              <w:jc w:val="left"/>
            </w:pPr>
            <w:r>
              <w:t xml:space="preserve">SEC approval, enhanced disclosure</w:t>
            </w:r>
          </w:p>
        </w:tc>
        <w:tc>
          <w:tcPr/>
          <w:p>
            <w:pPr>
              <w:pStyle w:val="Compact"/>
              <w:jc w:val="left"/>
            </w:pPr>
            <w:r>
              <w:t xml:space="preserve">HNWI individuals</w:t>
            </w:r>
          </w:p>
        </w:tc>
        <w:tc>
          <w:tcPr/>
          <w:p>
            <w:pPr>
              <w:pStyle w:val="Compact"/>
              <w:jc w:val="left"/>
            </w:pPr>
            <w:r>
              <w:t xml:space="preserve">Suitability documentation</w:t>
            </w:r>
          </w:p>
        </w:tc>
      </w:tr>
    </w:tbl>
    <w:p>
      <w:pPr>
        <w:pStyle w:val="a0"/>
      </w:pPr>
      <w:r>
        <w:rPr>
          <w:b/>
          <w:bCs/>
        </w:rPr>
        <w:t xml:space="preserve">TFRS 9 ECL requirements</w:t>
      </w:r>
      <w:r>
        <w:t xml:space="preserve"> </w:t>
      </w:r>
      <w:r>
        <w:t xml:space="preserve">are particularly significant for corporate bonds. The system must support: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ECL Stage</w:t>
            </w:r>
          </w:p>
        </w:tc>
        <w:tc>
          <w:tcPr/>
          <w:p>
            <w:pPr>
              <w:pStyle w:val="Compact"/>
              <w:jc w:val="left"/>
            </w:pPr>
            <w:r>
              <w:rPr>
                <w:b/>
                <w:bCs/>
              </w:rPr>
              <w:t xml:space="preserve">Trigger</w:t>
            </w:r>
          </w:p>
        </w:tc>
        <w:tc>
          <w:tcPr/>
          <w:p>
            <w:pPr>
              <w:pStyle w:val="Compact"/>
              <w:jc w:val="left"/>
            </w:pPr>
            <w:r>
              <w:rPr>
                <w:b/>
                <w:bCs/>
              </w:rPr>
              <w:t xml:space="preserve">Measurement</w:t>
            </w:r>
          </w:p>
        </w:tc>
        <w:tc>
          <w:tcPr/>
          <w:p>
            <w:pPr>
              <w:pStyle w:val="Compact"/>
              <w:jc w:val="left"/>
            </w:pPr>
            <w:r>
              <w:rPr>
                <w:b/>
                <w:bCs/>
              </w:rPr>
              <w:t xml:space="preserve">System Functionality</w:t>
            </w:r>
          </w:p>
        </w:tc>
      </w:tr>
      <w:tr>
        <w:tc>
          <w:tcPr/>
          <w:p>
            <w:pPr>
              <w:pStyle w:val="Compact"/>
              <w:jc w:val="left"/>
            </w:pPr>
            <w:r>
              <w:rPr>
                <w:b/>
                <w:bCs/>
              </w:rPr>
              <w:t xml:space="preserve">Stage 1</w:t>
            </w:r>
          </w:p>
        </w:tc>
        <w:tc>
          <w:tcPr/>
          <w:p>
            <w:pPr>
              <w:pStyle w:val="Compact"/>
              <w:jc w:val="left"/>
            </w:pPr>
            <w:r>
              <w:t xml:space="preserve">No significant credit deterioration</w:t>
            </w:r>
          </w:p>
        </w:tc>
        <w:tc>
          <w:tcPr/>
          <w:p>
            <w:pPr>
              <w:pStyle w:val="Compact"/>
              <w:jc w:val="left"/>
            </w:pPr>
            <w:r>
              <w:t xml:space="preserve">12-month ECL</w:t>
            </w:r>
          </w:p>
        </w:tc>
        <w:tc>
          <w:tcPr/>
          <w:p>
            <w:pPr>
              <w:pStyle w:val="Compact"/>
              <w:jc w:val="left"/>
            </w:pPr>
            <w:r>
              <w:t xml:space="preserve">PD/LGD/EAD estimation, forward-looking macro scenarios</w:t>
            </w:r>
          </w:p>
        </w:tc>
      </w:tr>
      <w:tr>
        <w:tc>
          <w:tcPr/>
          <w:p>
            <w:pPr>
              <w:pStyle w:val="Compact"/>
              <w:jc w:val="left"/>
            </w:pPr>
            <w:r>
              <w:rPr>
                <w:b/>
                <w:bCs/>
              </w:rPr>
              <w:t xml:space="preserve">Stage 2</w:t>
            </w:r>
          </w:p>
        </w:tc>
        <w:tc>
          <w:tcPr/>
          <w:p>
            <w:pPr>
              <w:pStyle w:val="Compact"/>
              <w:jc w:val="left"/>
            </w:pPr>
            <w:r>
              <w:t xml:space="preserve">Significant credit deterioration</w:t>
            </w:r>
          </w:p>
        </w:tc>
        <w:tc>
          <w:tcPr/>
          <w:p>
            <w:pPr>
              <w:pStyle w:val="Compact"/>
              <w:jc w:val="left"/>
            </w:pPr>
            <w:r>
              <w:t xml:space="preserve">Lifetime ECL</w:t>
            </w:r>
          </w:p>
        </w:tc>
        <w:tc>
          <w:tcPr/>
          <w:p>
            <w:pPr>
              <w:pStyle w:val="Compact"/>
              <w:jc w:val="left"/>
            </w:pPr>
            <w:r>
              <w:t xml:space="preserve">Deterioration indicators, migration tracking</w:t>
            </w:r>
          </w:p>
        </w:tc>
      </w:tr>
      <w:tr>
        <w:tc>
          <w:tcPr/>
          <w:p>
            <w:pPr>
              <w:pStyle w:val="Compact"/>
              <w:jc w:val="left"/>
            </w:pPr>
            <w:r>
              <w:rPr>
                <w:b/>
                <w:bCs/>
              </w:rPr>
              <w:t xml:space="preserve">Stage 3</w:t>
            </w:r>
          </w:p>
        </w:tc>
        <w:tc>
          <w:tcPr/>
          <w:p>
            <w:pPr>
              <w:pStyle w:val="Compact"/>
              <w:jc w:val="left"/>
            </w:pPr>
            <w:r>
              <w:t xml:space="preserve">Credit-impaired (objective evidence)</w:t>
            </w:r>
          </w:p>
        </w:tc>
        <w:tc>
          <w:tcPr/>
          <w:p>
            <w:pPr>
              <w:pStyle w:val="Compact"/>
              <w:jc w:val="left"/>
            </w:pPr>
            <w:r>
              <w:t xml:space="preserve">Lifetime ECL, net carrying amount interest</w:t>
            </w:r>
          </w:p>
        </w:tc>
        <w:tc>
          <w:tcPr/>
          <w:p>
            <w:pPr>
              <w:pStyle w:val="Compact"/>
              <w:jc w:val="left"/>
            </w:pPr>
            <w:r>
              <w:t xml:space="preserve">Impairment recognition, recovery analysis</w:t>
            </w:r>
          </w:p>
        </w:tc>
      </w:tr>
    </w:tbl>
    <w:p>
      <w:pPr>
        <w:pStyle w:val="a0"/>
      </w:pPr>
      <w:r>
        <w:rPr>
          <w:b/>
          <w:bCs/>
        </w:rPr>
        <w:t xml:space="preserve">Settlement</w:t>
      </w:r>
      <w:r>
        <w:t xml:space="preserve"> </w:t>
      </w:r>
      <w:r>
        <w:t xml:space="preserve">follows</w:t>
      </w:r>
      <w:r>
        <w:t xml:space="preserve"> </w:t>
      </w:r>
      <w:r>
        <w:rPr>
          <w:b/>
          <w:bCs/>
        </w:rPr>
        <w:t xml:space="preserve">T+2 DVP through TSD</w:t>
      </w:r>
      <w:r>
        <w:t xml:space="preserve">, with</w:t>
      </w:r>
      <w:r>
        <w:t xml:space="preserve"> </w:t>
      </w:r>
      <w:r>
        <w:rPr>
          <w:b/>
          <w:bCs/>
        </w:rPr>
        <w:t xml:space="preserve">PSMS matching</w:t>
      </w:r>
      <w:r>
        <w:t xml:space="preserve"> </w:t>
      </w:r>
      <w:r>
        <w:t xml:space="preserve">requiring precise trade detail alignment.</w:t>
      </w:r>
    </w:p>
    <w:bookmarkEnd w:id="35"/>
    <w:bookmarkStart w:id="36" w:name="commercial-paper-and-short-term-debt"/>
    <w:p>
      <w:pPr>
        <w:pStyle w:val="4"/>
      </w:pPr>
      <w:r>
        <w:t xml:space="preserve">2.3.2 Commercial Paper and Short-Term Debt</w:t>
      </w:r>
    </w:p>
    <w:p>
      <w:pPr>
        <w:pStyle w:val="FirstParagraph"/>
      </w:pPr>
      <w:r>
        <w:rPr>
          <w:b/>
          <w:bCs/>
        </w:rPr>
        <w:t xml:space="preserve">Commercial paper</w:t>
      </w:r>
      <w:r>
        <w:t xml:space="preserve"> </w:t>
      </w:r>
      <w:r>
        <w:t xml:space="preserve">(≤270 days, typically discount basis) serves</w:t>
      </w:r>
      <w:r>
        <w:t xml:space="preserve"> </w:t>
      </w:r>
      <w:r>
        <w:rPr>
          <w:b/>
          <w:bCs/>
        </w:rPr>
        <w:t xml:space="preserve">temporary liquidity deployment</w:t>
      </w:r>
      <w:r>
        <w:t xml:space="preserve">. The system must support:</w:t>
      </w:r>
    </w:p>
    <w:p>
      <w:pPr>
        <w:numPr>
          <w:ilvl w:val="0"/>
          <w:numId w:val="1002"/>
        </w:numPr>
      </w:pPr>
      <w:r>
        <w:rPr>
          <w:b/>
          <w:bCs/>
        </w:rPr>
        <w:t xml:space="preserve">Accretion accounting</w:t>
      </w:r>
      <w:r>
        <w:t xml:space="preserve"> </w:t>
      </w:r>
      <w:r>
        <w:t xml:space="preserve">for discount instruments</w:t>
      </w:r>
    </w:p>
    <w:p>
      <w:pPr>
        <w:numPr>
          <w:ilvl w:val="0"/>
          <w:numId w:val="1002"/>
        </w:numPr>
      </w:pPr>
      <w:r>
        <w:rPr>
          <w:b/>
          <w:bCs/>
        </w:rPr>
        <w:t xml:space="preserve">Rollover risk monitoring</w:t>
      </w:r>
      <w:r>
        <w:t xml:space="preserve">: projection of maturity concentrations, reinvestment planning</w:t>
      </w:r>
    </w:p>
    <w:p>
      <w:pPr>
        <w:numPr>
          <w:ilvl w:val="0"/>
          <w:numId w:val="1002"/>
        </w:numPr>
      </w:pPr>
      <w:r>
        <w:rPr>
          <w:b/>
          <w:bCs/>
        </w:rPr>
        <w:t xml:space="preserve">Tighter limits</w:t>
      </w:r>
      <w:r>
        <w:t xml:space="preserve">: single issuer, sector concentration controls given shorter-term credit sensitivity</w:t>
      </w:r>
    </w:p>
    <w:bookmarkEnd w:id="36"/>
    <w:bookmarkEnd w:id="37"/>
    <w:bookmarkStart w:id="42" w:name="repurchase-agreement-instruments"/>
    <w:p>
      <w:pPr>
        <w:pStyle w:val="3"/>
      </w:pPr>
      <w:r>
        <w:t xml:space="preserve">2.4 Repurchase Agreement Instruments</w:t>
      </w:r>
    </w:p>
    <w:bookmarkStart w:id="38" w:name="Xfa9ec418d0506d93c3ebc9ace4ee5099713c42e"/>
    <w:p>
      <w:pPr>
        <w:pStyle w:val="4"/>
      </w:pPr>
      <w:r>
        <w:t xml:space="preserve">2.4.1 Bilateral Repos with Bank of Thailand (Monetary Policy Operations)</w:t>
      </w:r>
    </w:p>
    <w:p>
      <w:pPr>
        <w:pStyle w:val="FirstParagraph"/>
      </w:pPr>
      <w:r>
        <w:rPr>
          <w:b/>
          <w:bCs/>
        </w:rPr>
        <w:t xml:space="preserve">BOT bilateral repos</w:t>
      </w:r>
      <w:r>
        <w:t xml:space="preserve"> </w:t>
      </w:r>
      <w:r>
        <w:t xml:space="preserve">are</w:t>
      </w:r>
      <w:r>
        <w:t xml:space="preserve"> </w:t>
      </w:r>
      <w:r>
        <w:rPr>
          <w:b/>
          <w:bCs/>
        </w:rPr>
        <w:t xml:space="preserve">restricted to appointed primary dealers</w:t>
      </w:r>
      <w:r>
        <w:t xml:space="preserve"> </w:t>
      </w:r>
      <w:r>
        <w:t xml:space="preserve">and serve as the</w:t>
      </w:r>
      <w:r>
        <w:t xml:space="preserve"> </w:t>
      </w:r>
      <w:r>
        <w:rPr>
          <w:b/>
          <w:bCs/>
        </w:rPr>
        <w:t xml:space="preserve">principal monetary policy transmission channel</w:t>
      </w:r>
      <w:r>
        <w:t xml:space="preserve">. The system must implement: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Process Stage</w:t>
            </w:r>
          </w:p>
        </w:tc>
        <w:tc>
          <w:tcPr/>
          <w:p>
            <w:pPr>
              <w:pStyle w:val="Compact"/>
              <w:jc w:val="left"/>
            </w:pPr>
            <w:r>
              <w:rPr>
                <w:b/>
                <w:bCs/>
              </w:rPr>
              <w:t xml:space="preserve">System Functionality</w:t>
            </w:r>
          </w:p>
        </w:tc>
      </w:tr>
      <w:tr>
        <w:tc>
          <w:tcPr/>
          <w:p>
            <w:pPr>
              <w:pStyle w:val="Compact"/>
              <w:jc w:val="left"/>
            </w:pPr>
            <w:r>
              <w:rPr>
                <w:b/>
                <w:bCs/>
              </w:rPr>
              <w:t xml:space="preserve">Announcement receipt</w:t>
            </w:r>
          </w:p>
        </w:tc>
        <w:tc>
          <w:tcPr/>
          <w:p>
            <w:pPr>
              <w:pStyle w:val="Compact"/>
              <w:jc w:val="left"/>
            </w:pPr>
            <w:r>
              <w:t xml:space="preserve">Parse BOT operation parameters (tenor, amount, eligible collateral)</w:t>
            </w:r>
          </w:p>
        </w:tc>
      </w:tr>
      <w:tr>
        <w:tc>
          <w:tcPr/>
          <w:p>
            <w:pPr>
              <w:pStyle w:val="Compact"/>
              <w:jc w:val="left"/>
            </w:pPr>
            <w:r>
              <w:rPr>
                <w:b/>
                <w:bCs/>
              </w:rPr>
              <w:t xml:space="preserve">Bid preparation</w:t>
            </w:r>
          </w:p>
        </w:tc>
        <w:tc>
          <w:tcPr/>
          <w:p>
            <w:pPr>
              <w:pStyle w:val="Compact"/>
              <w:jc w:val="left"/>
            </w:pPr>
            <w:r>
              <w:t xml:space="preserve">Optimize collateral selection considering haircuts, liquidity needs, portfolio impact</w:t>
            </w:r>
          </w:p>
        </w:tc>
      </w:tr>
      <w:tr>
        <w:tc>
          <w:tcPr/>
          <w:p>
            <w:pPr>
              <w:pStyle w:val="Compact"/>
              <w:jc w:val="left"/>
            </w:pPr>
            <w:r>
              <w:rPr>
                <w:b/>
                <w:bCs/>
              </w:rPr>
              <w:t xml:space="preserve">Bid submission</w:t>
            </w:r>
          </w:p>
        </w:tc>
        <w:tc>
          <w:tcPr/>
          <w:p>
            <w:pPr>
              <w:pStyle w:val="Compact"/>
              <w:jc w:val="left"/>
            </w:pPr>
            <w:r>
              <w:t xml:space="preserve">Format and transmit bids in BOT-prescribed format</w:t>
            </w:r>
          </w:p>
        </w:tc>
      </w:tr>
      <w:tr>
        <w:tc>
          <w:tcPr/>
          <w:p>
            <w:pPr>
              <w:pStyle w:val="Compact"/>
              <w:jc w:val="left"/>
            </w:pPr>
            <w:r>
              <w:rPr>
                <w:b/>
                <w:bCs/>
              </w:rPr>
              <w:t xml:space="preserve">Allocation processing</w:t>
            </w:r>
          </w:p>
        </w:tc>
        <w:tc>
          <w:tcPr/>
          <w:p>
            <w:pPr>
              <w:pStyle w:val="Compact"/>
              <w:jc w:val="left"/>
            </w:pPr>
            <w:r>
              <w:t xml:space="preserve">Record successful awards, update positions</w:t>
            </w:r>
          </w:p>
        </w:tc>
      </w:tr>
      <w:tr>
        <w:tc>
          <w:tcPr/>
          <w:p>
            <w:pPr>
              <w:pStyle w:val="Compact"/>
              <w:jc w:val="left"/>
            </w:pPr>
            <w:r>
              <w:rPr>
                <w:b/>
                <w:bCs/>
              </w:rPr>
              <w:t xml:space="preserve">Collateral transfer</w:t>
            </w:r>
          </w:p>
        </w:tc>
        <w:tc>
          <w:tcPr/>
          <w:p>
            <w:pPr>
              <w:pStyle w:val="Compact"/>
              <w:jc w:val="left"/>
            </w:pPr>
            <w:r>
              <w:t xml:space="preserve">Generate BAHTNET securities transfer instructions</w:t>
            </w:r>
          </w:p>
        </w:tc>
      </w:tr>
      <w:tr>
        <w:tc>
          <w:tcPr/>
          <w:p>
            <w:pPr>
              <w:pStyle w:val="Compact"/>
              <w:jc w:val="left"/>
            </w:pPr>
            <w:r>
              <w:rPr>
                <w:b/>
                <w:bCs/>
              </w:rPr>
              <w:t xml:space="preserve">Term management</w:t>
            </w:r>
          </w:p>
        </w:tc>
        <w:tc>
          <w:tcPr/>
          <w:p>
            <w:pPr>
              <w:pStyle w:val="Compact"/>
              <w:jc w:val="left"/>
            </w:pPr>
            <w:r>
              <w:t xml:space="preserve">Daily mark-to-market, margin monitoring, interest accrual</w:t>
            </w:r>
          </w:p>
        </w:tc>
      </w:tr>
      <w:tr>
        <w:tc>
          <w:tcPr/>
          <w:p>
            <w:pPr>
              <w:pStyle w:val="Compact"/>
              <w:jc w:val="left"/>
            </w:pPr>
            <w:r>
              <w:rPr>
                <w:b/>
                <w:bCs/>
              </w:rPr>
              <w:t xml:space="preserve">Maturity/rollover</w:t>
            </w:r>
          </w:p>
        </w:tc>
        <w:tc>
          <w:tcPr/>
          <w:p>
            <w:pPr>
              <w:pStyle w:val="Compact"/>
              <w:jc w:val="left"/>
            </w:pPr>
            <w:r>
              <w:t xml:space="preserve">Cash repayment planning, new bid preparation if rolling</w:t>
            </w:r>
          </w:p>
        </w:tc>
      </w:tr>
    </w:tbl>
    <w:bookmarkEnd w:id="38"/>
    <w:bookmarkStart w:id="39" w:name="X6e0ab42ddbd7d30c637c1af8033a294e33c6043"/>
    <w:p>
      <w:pPr>
        <w:pStyle w:val="4"/>
      </w:pPr>
      <w:r>
        <w:t xml:space="preserve">2.4.2 Private Market Repos (Interbank and Institutional)</w:t>
      </w:r>
    </w:p>
    <w:p>
      <w:pPr>
        <w:pStyle w:val="FirstParagraph"/>
      </w:pPr>
      <w:r>
        <w:rPr>
          <w:b/>
          <w:bCs/>
        </w:rPr>
        <w:t xml:space="preserve">Private repos</w:t>
      </w:r>
      <w:r>
        <w:t xml:space="preserve"> </w:t>
      </w:r>
      <w:r>
        <w:t xml:space="preserve">provide</w:t>
      </w:r>
      <w:r>
        <w:t xml:space="preserve"> </w:t>
      </w:r>
      <w:r>
        <w:rPr>
          <w:b/>
          <w:bCs/>
        </w:rPr>
        <w:t xml:space="preserve">flexible short-term funding</w:t>
      </w:r>
      <w:r>
        <w:t xml:space="preserve"> </w:t>
      </w:r>
      <w:r>
        <w:t xml:space="preserve">beyond BOT operations, governed by</w:t>
      </w:r>
      <w:r>
        <w:t xml:space="preserve"> </w:t>
      </w:r>
      <w:r>
        <w:rPr>
          <w:b/>
          <w:bCs/>
        </w:rPr>
        <w:t xml:space="preserve">GMRA with Thailand Annex</w:t>
      </w:r>
      <w:r>
        <w:t xml:space="preserve"> </w:t>
      </w:r>
      <w:r>
        <w:t xml:space="preserve">or</w:t>
      </w:r>
      <w:r>
        <w:t xml:space="preserve"> </w:t>
      </w:r>
      <w:r>
        <w:rPr>
          <w:b/>
          <w:bCs/>
        </w:rPr>
        <w:t xml:space="preserve">Thai Master Repurchase Agreement</w:t>
      </w:r>
      <w:r>
        <w:t xml:space="preserve">.</w:t>
      </w:r>
      <w:r>
        <w:t xml:space="preserve"> </w:t>
      </w:r>
      <w:r>
        <w:rPr>
          <w:b/>
          <w:bCs/>
        </w:rPr>
        <w:t xml:space="preserve">Market data from 2016</w:t>
      </w:r>
      <w:r>
        <w:t xml:space="preserve"> </w:t>
      </w:r>
      <w:r>
        <w:t xml:space="preserve">showed</w:t>
      </w:r>
      <w:r>
        <w:t xml:space="preserve"> </w:t>
      </w:r>
      <w:r>
        <w:rPr>
          <w:b/>
          <w:bCs/>
        </w:rPr>
        <w:t xml:space="preserve">overnight repos at 37% of outstanding volume</w:t>
      </w:r>
      <w:r>
        <w:t xml:space="preserve">, with</w:t>
      </w:r>
      <w:r>
        <w:t xml:space="preserve"> </w:t>
      </w:r>
      <w:r>
        <w:rPr>
          <w:b/>
          <w:bCs/>
        </w:rPr>
        <w:t xml:space="preserve">tenors of one month or longer at 14%</w:t>
      </w:r>
      <w:r>
        <w:t xml:space="preserve">, and</w:t>
      </w:r>
      <w:r>
        <w:t xml:space="preserve"> </w:t>
      </w:r>
      <w:r>
        <w:rPr>
          <w:b/>
          <w:bCs/>
        </w:rPr>
        <w:t xml:space="preserve">total outstanding at THB 475 billion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Repo Structure</w:t>
            </w:r>
          </w:p>
        </w:tc>
        <w:tc>
          <w:tcPr/>
          <w:p>
            <w:pPr>
              <w:pStyle w:val="Compact"/>
              <w:jc w:val="left"/>
            </w:pPr>
            <w:r>
              <w:rPr>
                <w:b/>
                <w:bCs/>
              </w:rPr>
              <w:t xml:space="preserve">Characteristics</w:t>
            </w:r>
          </w:p>
        </w:tc>
        <w:tc>
          <w:tcPr/>
          <w:p>
            <w:pPr>
              <w:pStyle w:val="Compact"/>
              <w:jc w:val="left"/>
            </w:pPr>
            <w:r>
              <w:rPr>
                <w:b/>
                <w:bCs/>
              </w:rPr>
              <w:t xml:space="preserve">System Requirements</w:t>
            </w:r>
          </w:p>
        </w:tc>
      </w:tr>
      <w:tr>
        <w:tc>
          <w:tcPr/>
          <w:p>
            <w:pPr>
              <w:pStyle w:val="Compact"/>
              <w:jc w:val="left"/>
            </w:pPr>
            <w:r>
              <w:rPr>
                <w:b/>
                <w:bCs/>
              </w:rPr>
              <w:t xml:space="preserve">Classic repo</w:t>
            </w:r>
          </w:p>
        </w:tc>
        <w:tc>
          <w:tcPr/>
          <w:p>
            <w:pPr>
              <w:pStyle w:val="Compact"/>
              <w:jc w:val="left"/>
            </w:pPr>
            <w:r>
              <w:t xml:space="preserve">Specific collateral, fixed term</w:t>
            </w:r>
          </w:p>
        </w:tc>
        <w:tc>
          <w:tcPr/>
          <w:p>
            <w:pPr>
              <w:pStyle w:val="Compact"/>
              <w:jc w:val="left"/>
            </w:pPr>
            <w:r>
              <w:t xml:space="preserve">Collateral identification, substitution tracking</w:t>
            </w:r>
          </w:p>
        </w:tc>
      </w:tr>
      <w:tr>
        <w:tc>
          <w:tcPr/>
          <w:p>
            <w:pPr>
              <w:pStyle w:val="Compact"/>
              <w:jc w:val="left"/>
            </w:pPr>
            <w:r>
              <w:rPr>
                <w:b/>
                <w:bCs/>
              </w:rPr>
              <w:t xml:space="preserve">Open repo</w:t>
            </w:r>
          </w:p>
        </w:tc>
        <w:tc>
          <w:tcPr/>
          <w:p>
            <w:pPr>
              <w:pStyle w:val="Compact"/>
              <w:jc w:val="left"/>
            </w:pPr>
            <w:r>
              <w:t xml:space="preserve">No fixed maturity, callable</w:t>
            </w:r>
          </w:p>
        </w:tc>
        <w:tc>
          <w:tcPr/>
          <w:p>
            <w:pPr>
              <w:pStyle w:val="Compact"/>
              <w:jc w:val="left"/>
            </w:pPr>
            <w:r>
              <w:t xml:space="preserve">Daily rate reset, continuous collateral management</w:t>
            </w:r>
          </w:p>
        </w:tc>
      </w:tr>
      <w:tr>
        <w:tc>
          <w:tcPr/>
          <w:p>
            <w:pPr>
              <w:pStyle w:val="Compact"/>
              <w:jc w:val="left"/>
            </w:pPr>
            <w:r>
              <w:rPr>
                <w:b/>
                <w:bCs/>
              </w:rPr>
              <w:t xml:space="preserve">General collateral (GC) repo</w:t>
            </w:r>
          </w:p>
        </w:tc>
        <w:tc>
          <w:tcPr/>
          <w:p>
            <w:pPr>
              <w:pStyle w:val="Compact"/>
              <w:jc w:val="left"/>
            </w:pPr>
            <w:r>
              <w:t xml:space="preserve">Collateral pool, rate-focused</w:t>
            </w:r>
          </w:p>
        </w:tc>
        <w:tc>
          <w:tcPr/>
          <w:p>
            <w:pPr>
              <w:pStyle w:val="Compact"/>
              <w:jc w:val="left"/>
            </w:pPr>
            <w:r>
              <w:t xml:space="preserve">Pool management, optimization algorithms</w:t>
            </w:r>
          </w:p>
        </w:tc>
      </w:tr>
      <w:tr>
        <w:tc>
          <w:tcPr/>
          <w:p>
            <w:pPr>
              <w:pStyle w:val="Compact"/>
              <w:jc w:val="left"/>
            </w:pPr>
            <w:r>
              <w:rPr>
                <w:b/>
                <w:bCs/>
              </w:rPr>
              <w:t xml:space="preserve">Special repo</w:t>
            </w:r>
          </w:p>
        </w:tc>
        <w:tc>
          <w:tcPr/>
          <w:p>
            <w:pPr>
              <w:pStyle w:val="Compact"/>
              <w:jc w:val="left"/>
            </w:pPr>
            <w:r>
              <w:t xml:space="preserve">Specific security in demand</w:t>
            </w:r>
          </w:p>
        </w:tc>
        <w:tc>
          <w:tcPr/>
          <w:p>
            <w:pPr>
              <w:pStyle w:val="Compact"/>
              <w:jc w:val="left"/>
            </w:pPr>
            <w:r>
              <w:t xml:space="preserve">Specials tracking, rate inversion monitoring</w:t>
            </w:r>
          </w:p>
        </w:tc>
      </w:tr>
    </w:tbl>
    <w:p>
      <w:pPr>
        <w:pStyle w:val="a0"/>
      </w:pPr>
      <w:r>
        <w:rPr>
          <w:b/>
          <w:bCs/>
        </w:rPr>
        <w:t xml:space="preserve">Collateral management</w:t>
      </w:r>
      <w:r>
        <w:t xml:space="preserve"> </w:t>
      </w:r>
      <w:r>
        <w:t xml:space="preserve">must implement</w:t>
      </w:r>
      <w:r>
        <w:t xml:space="preserve"> </w:t>
      </w:r>
      <w:r>
        <w:rPr>
          <w:b/>
          <w:bCs/>
        </w:rPr>
        <w:t xml:space="preserve">variation margin in cash form with interest inclusion</w:t>
      </w:r>
      <w:r>
        <w:t xml:space="preserve">—a Thai market convention.</w:t>
      </w:r>
      <w:r>
        <w:t xml:space="preserve"> </w:t>
      </w:r>
      <w:r>
        <w:rPr>
          <w:b/>
          <w:bCs/>
        </w:rPr>
        <w:t xml:space="preserve">Margin call threshold: THB 500,000</w:t>
      </w:r>
      <w:r>
        <w:t xml:space="preserve">, with automated calculation:</w:t>
      </w:r>
    </w:p>
    <w:p>
      <w:pPr>
        <w:pStyle w:val="a0"/>
      </w:pPr>
      <m:oMathPara>
        <m:oMathParaPr>
          <m:jc m:val="center"/>
        </m:oMathParaPr>
        <m:oMath>
          <m:r>
            <m:rPr>
              <m:nor/>
              <m:sty m:val="p"/>
            </m:rPr>
            <m:t>Margin Call</m:t>
          </m:r>
          <m:r>
            <m:rPr>
              <m:sty m:val="p"/>
            </m:rPr>
            <m:t>=</m:t>
          </m:r>
          <m:r>
            <m:rPr>
              <m:nor/>
              <m:sty m:val="p"/>
            </m:rPr>
            <m:t>Market Value</m:t>
          </m:r>
          <m:r>
            <m:rPr>
              <m:sty m:val="p"/>
            </m:rPr>
            <m:t>−</m:t>
          </m:r>
          <m:f>
            <m:fPr>
              <m:type m:val="bar"/>
            </m:fPr>
            <m:num>
              <m:r>
                <m:rPr>
                  <m:nor/>
                  <m:sty m:val="p"/>
                </m:rPr>
                <m:t>Purchase Price</m:t>
              </m:r>
              <m:r>
                <m:rPr>
                  <m:sty m:val="p"/>
                </m:rPr>
                <m:t>+</m:t>
              </m:r>
              <m:r>
                <m:rPr>
                  <m:nor/>
                  <m:sty m:val="p"/>
                </m:rPr>
                <m:t>Accrued Interest</m:t>
              </m:r>
            </m:num>
            <m:den>
              <m:r>
                <m:t>1</m:t>
              </m:r>
              <m:r>
                <m:rPr>
                  <m:sty m:val="p"/>
                </m:rPr>
                <m:t>−</m:t>
              </m:r>
              <m:r>
                <m:rPr>
                  <m:nor/>
                  <m:sty m:val="p"/>
                </m:rPr>
                <m:t>Initial Margin</m:t>
              </m:r>
            </m:den>
          </m:f>
        </m:oMath>
      </m:oMathPara>
    </w:p>
    <w:bookmarkEnd w:id="39"/>
    <w:bookmarkStart w:id="40" w:name="reverse-repos-for-liquidity-deployment"/>
    <w:p>
      <w:pPr>
        <w:pStyle w:val="4"/>
      </w:pPr>
      <w:r>
        <w:t xml:space="preserve">2.4.3 Reverse Repos for Liquidity Deployment</w:t>
      </w:r>
    </w:p>
    <w:p>
      <w:pPr>
        <w:pStyle w:val="FirstParagraph"/>
      </w:pPr>
      <w:r>
        <w:rPr>
          <w:b/>
          <w:bCs/>
        </w:rPr>
        <w:t xml:space="preserve">Reverse repos</w:t>
      </w:r>
      <w:r>
        <w:t xml:space="preserve"> </w:t>
      </w:r>
      <w:r>
        <w:t xml:space="preserve">(cash lending against collateral) require</w:t>
      </w:r>
      <w:r>
        <w:t xml:space="preserve"> </w:t>
      </w:r>
      <w:r>
        <w:rPr>
          <w:b/>
          <w:bCs/>
        </w:rPr>
        <w:t xml:space="preserve">enhanced credit risk assessment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Element</w:t>
            </w:r>
          </w:p>
        </w:tc>
        <w:tc>
          <w:tcPr/>
          <w:p>
            <w:pPr>
              <w:pStyle w:val="Compact"/>
              <w:jc w:val="left"/>
            </w:pPr>
            <w:r>
              <w:rPr>
                <w:b/>
                <w:bCs/>
              </w:rPr>
              <w:t xml:space="preserve">Mitigation</w:t>
            </w:r>
          </w:p>
        </w:tc>
        <w:tc>
          <w:tcPr/>
          <w:p>
            <w:pPr>
              <w:pStyle w:val="Compact"/>
              <w:jc w:val="left"/>
            </w:pPr>
            <w:r>
              <w:rPr>
                <w:b/>
                <w:bCs/>
              </w:rPr>
              <w:t xml:space="preserve">System Implementation</w:t>
            </w:r>
          </w:p>
        </w:tc>
      </w:tr>
      <w:tr>
        <w:tc>
          <w:tcPr/>
          <w:p>
            <w:pPr>
              <w:pStyle w:val="Compact"/>
              <w:jc w:val="left"/>
            </w:pPr>
            <w:r>
              <w:t xml:space="preserve">Counterparty default</w:t>
            </w:r>
          </w:p>
        </w:tc>
        <w:tc>
          <w:tcPr/>
          <w:p>
            <w:pPr>
              <w:pStyle w:val="Compact"/>
              <w:jc w:val="left"/>
            </w:pPr>
            <w:r>
              <w:t xml:space="preserve">Collateral liquidation</w:t>
            </w:r>
          </w:p>
        </w:tc>
        <w:tc>
          <w:tcPr/>
          <w:p>
            <w:pPr>
              <w:pStyle w:val="Compact"/>
              <w:jc w:val="left"/>
            </w:pPr>
            <w:r>
              <w:t xml:space="preserve">Collateral eligibility, haircut adequacy, liquidation procedures</w:t>
            </w:r>
          </w:p>
        </w:tc>
      </w:tr>
      <w:tr>
        <w:tc>
          <w:tcPr/>
          <w:p>
            <w:pPr>
              <w:pStyle w:val="Compact"/>
              <w:jc w:val="left"/>
            </w:pPr>
            <w:r>
              <w:t xml:space="preserve">Collateral value decline</w:t>
            </w:r>
          </w:p>
        </w:tc>
        <w:tc>
          <w:tcPr/>
          <w:p>
            <w:pPr>
              <w:pStyle w:val="Compact"/>
              <w:jc w:val="left"/>
            </w:pPr>
            <w:r>
              <w:t xml:space="preserve">Margin calls, haircuts</w:t>
            </w:r>
          </w:p>
        </w:tc>
        <w:tc>
          <w:tcPr/>
          <w:p>
            <w:pPr>
              <w:pStyle w:val="Compact"/>
              <w:jc w:val="left"/>
            </w:pPr>
            <w:r>
              <w:t xml:space="preserve">Daily mark-to-market, automated margin call generation</w:t>
            </w:r>
          </w:p>
        </w:tc>
      </w:tr>
      <w:tr>
        <w:tc>
          <w:tcPr/>
          <w:p>
            <w:pPr>
              <w:pStyle w:val="Compact"/>
              <w:jc w:val="left"/>
            </w:pPr>
            <w:r>
              <w:t xml:space="preserve">Collateral illiquidity</w:t>
            </w:r>
          </w:p>
        </w:tc>
        <w:tc>
          <w:tcPr/>
          <w:p>
            <w:pPr>
              <w:pStyle w:val="Compact"/>
              <w:jc w:val="left"/>
            </w:pPr>
            <w:r>
              <w:t xml:space="preserve">Concentration limits, liquidity buffers</w:t>
            </w:r>
          </w:p>
        </w:tc>
        <w:tc>
          <w:tcPr/>
          <w:p>
            <w:pPr>
              <w:pStyle w:val="Compact"/>
              <w:jc w:val="left"/>
            </w:pPr>
            <w:r>
              <w:t xml:space="preserve">Collateral quality scoring, stress testing</w:t>
            </w:r>
          </w:p>
        </w:tc>
      </w:tr>
    </w:tbl>
    <w:bookmarkEnd w:id="40"/>
    <w:bookmarkStart w:id="41" w:name="X41b49f34b93e68ac9c8785fcb2ecd500a64526b"/>
    <w:p>
      <w:pPr>
        <w:pStyle w:val="4"/>
      </w:pPr>
      <w:r>
        <w:t xml:space="preserve">2.4.4 GMRA and Thai Master Repurchase Agreement Compliance</w:t>
      </w:r>
    </w:p>
    <w:p>
      <w:pPr>
        <w:pStyle w:val="FirstParagraph"/>
      </w:pPr>
      <w:r>
        <w:t xml:space="preserve">The system must maintain</w:t>
      </w:r>
      <w:r>
        <w:t xml:space="preserve"> </w:t>
      </w:r>
      <w:r>
        <w:rPr>
          <w:b/>
          <w:bCs/>
        </w:rPr>
        <w:t xml:space="preserve">master agreement repository</w:t>
      </w:r>
      <w:r>
        <w:t xml:space="preserve"> </w:t>
      </w:r>
      <w:r>
        <w:t xml:space="preserve">with: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Tracked Elements</w:t>
            </w:r>
          </w:p>
        </w:tc>
        <w:tc>
          <w:tcPr/>
          <w:p>
            <w:pPr>
              <w:pStyle w:val="Compact"/>
              <w:jc w:val="left"/>
            </w:pPr>
            <w:r>
              <w:rPr>
                <w:b/>
                <w:bCs/>
              </w:rPr>
              <w:t xml:space="preserve">Purpose</w:t>
            </w:r>
          </w:p>
        </w:tc>
      </w:tr>
      <w:tr>
        <w:tc>
          <w:tcPr/>
          <w:p>
            <w:pPr>
              <w:pStyle w:val="Compact"/>
              <w:jc w:val="left"/>
            </w:pPr>
            <w:r>
              <w:t xml:space="preserve">Agreement version and amendments</w:t>
            </w:r>
          </w:p>
        </w:tc>
        <w:tc>
          <w:tcPr/>
          <w:p>
            <w:pPr>
              <w:pStyle w:val="Compact"/>
              <w:jc w:val="left"/>
            </w:pPr>
            <w:r>
              <w:t xml:space="preserve">Ensure current terms apply</w:t>
            </w:r>
          </w:p>
        </w:tc>
      </w:tr>
      <w:tr>
        <w:tc>
          <w:tcPr/>
          <w:p>
            <w:pPr>
              <w:pStyle w:val="Compact"/>
              <w:jc w:val="left"/>
            </w:pPr>
            <w:r>
              <w:t xml:space="preserve">Counterparty coverage</w:t>
            </w:r>
          </w:p>
        </w:tc>
        <w:tc>
          <w:tcPr/>
          <w:p>
            <w:pPr>
              <w:pStyle w:val="Compact"/>
              <w:jc w:val="left"/>
            </w:pPr>
            <w:r>
              <w:t xml:space="preserve">Validate transaction eligibility</w:t>
            </w:r>
          </w:p>
        </w:tc>
      </w:tr>
      <w:tr>
        <w:tc>
          <w:tcPr/>
          <w:p>
            <w:pPr>
              <w:pStyle w:val="Compact"/>
              <w:jc w:val="left"/>
            </w:pPr>
            <w:r>
              <w:t xml:space="preserve">Margin maintenance thresholds</w:t>
            </w:r>
          </w:p>
        </w:tc>
        <w:tc>
          <w:tcPr/>
          <w:p>
            <w:pPr>
              <w:pStyle w:val="Compact"/>
              <w:jc w:val="left"/>
            </w:pPr>
            <w:r>
              <w:t xml:space="preserve">Trigger automated margin processes</w:t>
            </w:r>
          </w:p>
        </w:tc>
      </w:tr>
      <w:tr>
        <w:tc>
          <w:tcPr/>
          <w:p>
            <w:pPr>
              <w:pStyle w:val="Compact"/>
              <w:jc w:val="left"/>
            </w:pPr>
            <w:r>
              <w:t xml:space="preserve">Collateral eligibility schedules</w:t>
            </w:r>
          </w:p>
        </w:tc>
        <w:tc>
          <w:tcPr/>
          <w:p>
            <w:pPr>
              <w:pStyle w:val="Compact"/>
              <w:jc w:val="left"/>
            </w:pPr>
            <w:r>
              <w:t xml:space="preserve">Filter available securities</w:t>
            </w:r>
          </w:p>
        </w:tc>
      </w:tr>
      <w:tr>
        <w:tc>
          <w:tcPr/>
          <w:p>
            <w:pPr>
              <w:pStyle w:val="Compact"/>
              <w:jc w:val="left"/>
            </w:pPr>
            <w:r>
              <w:t xml:space="preserve">Haircut matrices</w:t>
            </w:r>
          </w:p>
        </w:tc>
        <w:tc>
          <w:tcPr/>
          <w:p>
            <w:pPr>
              <w:pStyle w:val="Compact"/>
              <w:jc w:val="left"/>
            </w:pPr>
            <w:r>
              <w:t xml:space="preserve">Calculate required collateral</w:t>
            </w:r>
          </w:p>
        </w:tc>
      </w:tr>
      <w:tr>
        <w:tc>
          <w:tcPr/>
          <w:p>
            <w:pPr>
              <w:pStyle w:val="Compact"/>
              <w:jc w:val="left"/>
            </w:pPr>
            <w:r>
              <w:t xml:space="preserve">Events of default and close-out netting</w:t>
            </w:r>
          </w:p>
        </w:tc>
        <w:tc>
          <w:tcPr/>
          <w:p>
            <w:pPr>
              <w:pStyle w:val="Compact"/>
              <w:jc w:val="left"/>
            </w:pPr>
            <w:r>
              <w:t xml:space="preserve">Support default procedures</w:t>
            </w:r>
          </w:p>
        </w:tc>
      </w:tr>
    </w:tbl>
    <w:bookmarkEnd w:id="41"/>
    <w:bookmarkEnd w:id="42"/>
    <w:bookmarkEnd w:id="43"/>
    <w:bookmarkStart w:id="85" w:name="core-functional-modules"/>
    <w:p>
      <w:pPr>
        <w:pStyle w:val="2"/>
      </w:pPr>
      <w:r>
        <w:t xml:space="preserve">3. Core Functional Modules</w:t>
      </w:r>
    </w:p>
    <w:bookmarkStart w:id="49" w:name="trade-execution-module"/>
    <w:p>
      <w:pPr>
        <w:pStyle w:val="3"/>
      </w:pPr>
      <w:r>
        <w:t xml:space="preserve">3.1 Trade Execution Module</w:t>
      </w:r>
    </w:p>
    <w:bookmarkStart w:id="44" w:name="otc-trade-capture-and-negotiation"/>
    <w:p>
      <w:pPr>
        <w:pStyle w:val="4"/>
      </w:pPr>
      <w:r>
        <w:t xml:space="preserve">3.1.1 OTC Trade Capture and Negotiation</w:t>
      </w:r>
    </w:p>
    <w:p>
      <w:pPr>
        <w:pStyle w:val="FirstParagraph"/>
      </w:pPr>
      <w:r>
        <w:t xml:space="preserve">Given</w:t>
      </w:r>
      <w:r>
        <w:t xml:space="preserve"> </w:t>
      </w:r>
      <w:r>
        <w:rPr>
          <w:b/>
          <w:bCs/>
        </w:rPr>
        <w:t xml:space="preserve">~99% OTC market share</w:t>
      </w:r>
      <w:r>
        <w:t xml:space="preserve">, the module prioritizes</w:t>
      </w:r>
      <w:r>
        <w:t xml:space="preserve"> </w:t>
      </w:r>
      <w:r>
        <w:rPr>
          <w:b/>
          <w:bCs/>
        </w:rPr>
        <w:t xml:space="preserve">voice-brokered transaction capture</w:t>
      </w:r>
      <w:r>
        <w:t xml:space="preserve"> </w:t>
      </w:r>
      <w:r>
        <w:t xml:space="preserve">with: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Capture Element</w:t>
            </w:r>
          </w:p>
        </w:tc>
        <w:tc>
          <w:tcPr/>
          <w:p>
            <w:pPr>
              <w:pStyle w:val="Compact"/>
              <w:jc w:val="left"/>
            </w:pPr>
            <w:r>
              <w:rPr>
                <w:b/>
                <w:bCs/>
              </w:rPr>
              <w:t xml:space="preserve">Validation</w:t>
            </w:r>
          </w:p>
        </w:tc>
        <w:tc>
          <w:tcPr/>
          <w:p>
            <w:pPr>
              <w:pStyle w:val="Compact"/>
              <w:jc w:val="left"/>
            </w:pPr>
            <w:r>
              <w:rPr>
                <w:b/>
                <w:bCs/>
              </w:rPr>
              <w:t xml:space="preserve">Enrichment</w:t>
            </w:r>
          </w:p>
        </w:tc>
      </w:tr>
      <w:tr>
        <w:tc>
          <w:tcPr/>
          <w:p>
            <w:pPr>
              <w:pStyle w:val="Compact"/>
              <w:jc w:val="left"/>
            </w:pPr>
            <w:r>
              <w:t xml:space="preserve">Instrument (ISIN/internal code)</w:t>
            </w:r>
          </w:p>
        </w:tc>
        <w:tc>
          <w:tcPr/>
          <w:p>
            <w:pPr>
              <w:pStyle w:val="Compact"/>
              <w:jc w:val="left"/>
            </w:pPr>
            <w:r>
              <w:t xml:space="preserve">Master data existence, eligibility</w:t>
            </w:r>
          </w:p>
        </w:tc>
        <w:tc>
          <w:tcPr/>
          <w:p>
            <w:pPr>
              <w:pStyle w:val="Compact"/>
              <w:jc w:val="left"/>
            </w:pPr>
            <w:r>
              <w:t xml:space="preserve">Description, rating, maturity, coupon</w:t>
            </w:r>
          </w:p>
        </w:tc>
      </w:tr>
      <w:tr>
        <w:tc>
          <w:tcPr/>
          <w:p>
            <w:pPr>
              <w:pStyle w:val="Compact"/>
              <w:jc w:val="left"/>
            </w:pPr>
            <w:r>
              <w:t xml:space="preserve">Trade date/time</w:t>
            </w:r>
          </w:p>
        </w:tc>
        <w:tc>
          <w:tcPr/>
          <w:p>
            <w:pPr>
              <w:pStyle w:val="Compact"/>
              <w:jc w:val="left"/>
            </w:pPr>
            <w:r>
              <w:t xml:space="preserve">Business day, market hours</w:t>
            </w:r>
          </w:p>
        </w:tc>
        <w:tc>
          <w:tcPr/>
          <w:p>
            <w:pPr>
              <w:pStyle w:val="Compact"/>
              <w:jc w:val="left"/>
            </w:pPr>
            <w:r>
              <w:t xml:space="preserve">Timestamp for 30-min reporting</w:t>
            </w:r>
          </w:p>
        </w:tc>
      </w:tr>
      <w:tr>
        <w:tc>
          <w:tcPr/>
          <w:p>
            <w:pPr>
              <w:pStyle w:val="Compact"/>
              <w:jc w:val="left"/>
            </w:pPr>
            <w:r>
              <w:t xml:space="preserve">Settlement date</w:t>
            </w:r>
          </w:p>
        </w:tc>
        <w:tc>
          <w:tcPr/>
          <w:p>
            <w:pPr>
              <w:pStyle w:val="Compact"/>
              <w:jc w:val="left"/>
            </w:pPr>
            <w:r>
              <w:t xml:space="preserve">T+2 standard, holiday adjustment</w:t>
            </w:r>
          </w:p>
        </w:tc>
        <w:tc>
          <w:tcPr/>
          <w:p>
            <w:pPr>
              <w:pStyle w:val="Compact"/>
              <w:jc w:val="left"/>
            </w:pPr>
            <w:r>
              <w:t xml:space="preserve">Automatic calculation with override</w:t>
            </w:r>
          </w:p>
        </w:tc>
      </w:tr>
      <w:tr>
        <w:tc>
          <w:tcPr/>
          <w:p>
            <w:pPr>
              <w:pStyle w:val="Compact"/>
              <w:jc w:val="left"/>
            </w:pPr>
            <w:r>
              <w:t xml:space="preserve">Price/yield</w:t>
            </w:r>
          </w:p>
        </w:tc>
        <w:tc>
          <w:tcPr/>
          <w:p>
            <w:pPr>
              <w:pStyle w:val="Compact"/>
              <w:jc w:val="left"/>
            </w:pPr>
            <w:r>
              <w:t xml:space="preserve">Reasonableness range</w:t>
            </w:r>
          </w:p>
        </w:tc>
        <w:tc>
          <w:tcPr/>
          <w:p>
            <w:pPr>
              <w:pStyle w:val="Compact"/>
              <w:jc w:val="left"/>
            </w:pPr>
            <w:r>
              <w:t xml:space="preserve">Clean/dirty price conversion, accrued interest</w:t>
            </w:r>
          </w:p>
        </w:tc>
      </w:tr>
      <w:tr>
        <w:tc>
          <w:tcPr/>
          <w:p>
            <w:pPr>
              <w:pStyle w:val="Compact"/>
              <w:jc w:val="left"/>
            </w:pPr>
            <w:r>
              <w:t xml:space="preserve">Notional amount</w:t>
            </w:r>
          </w:p>
        </w:tc>
        <w:tc>
          <w:tcPr/>
          <w:p>
            <w:pPr>
              <w:pStyle w:val="Compact"/>
              <w:jc w:val="left"/>
            </w:pPr>
            <w:r>
              <w:t xml:space="preserve">Limit pre-check</w:t>
            </w:r>
          </w:p>
        </w:tc>
        <w:tc>
          <w:tcPr/>
          <w:p>
            <w:pPr>
              <w:pStyle w:val="Compact"/>
              <w:jc w:val="left"/>
            </w:pPr>
            <w:r>
              <w:t xml:space="preserve">Unit conversion (THB 1,000/100,000 typical)</w:t>
            </w:r>
          </w:p>
        </w:tc>
      </w:tr>
      <w:tr>
        <w:tc>
          <w:tcPr/>
          <w:p>
            <w:pPr>
              <w:pStyle w:val="Compact"/>
              <w:jc w:val="left"/>
            </w:pPr>
            <w:r>
              <w:t xml:space="preserve">Counterparty</w:t>
            </w:r>
          </w:p>
        </w:tc>
        <w:tc>
          <w:tcPr/>
          <w:p>
            <w:pPr>
              <w:pStyle w:val="Compact"/>
              <w:jc w:val="left"/>
            </w:pPr>
            <w:r>
              <w:t xml:space="preserve">KYC status, limit availability</w:t>
            </w:r>
          </w:p>
        </w:tc>
        <w:tc>
          <w:tcPr/>
          <w:p>
            <w:pPr>
              <w:pStyle w:val="Compact"/>
              <w:jc w:val="left"/>
            </w:pPr>
            <w:r>
              <w:t xml:space="preserve">Historical relationship data</w:t>
            </w:r>
          </w:p>
        </w:tc>
      </w:tr>
      <w:tr>
        <w:tc>
          <w:tcPr/>
          <w:p>
            <w:pPr>
              <w:pStyle w:val="Compact"/>
              <w:jc w:val="left"/>
            </w:pPr>
            <w:r>
              <w:t xml:space="preserve">Repo terms (if applicable)</w:t>
            </w:r>
          </w:p>
        </w:tc>
        <w:tc>
          <w:tcPr/>
          <w:p>
            <w:pPr>
              <w:pStyle w:val="Compact"/>
              <w:jc w:val="left"/>
            </w:pPr>
            <w:r>
              <w:t xml:space="preserve">Collateral eligibility, rate reasonableness</w:t>
            </w:r>
          </w:p>
        </w:tc>
        <w:tc>
          <w:tcPr/>
          <w:p>
            <w:pPr>
              <w:pStyle w:val="Compact"/>
              <w:jc w:val="left"/>
            </w:pPr>
            <w:r>
              <w:t xml:space="preserve">Haircut application, maturity date</w:t>
            </w:r>
          </w:p>
        </w:tc>
      </w:tr>
    </w:tbl>
    <w:p>
      <w:pPr>
        <w:pStyle w:val="a0"/>
      </w:pPr>
      <w:r>
        <w:rPr>
          <w:b/>
          <w:bCs/>
        </w:rPr>
        <w:t xml:space="preserve">Negotiation support</w:t>
      </w:r>
      <w:r>
        <w:t xml:space="preserve"> </w:t>
      </w:r>
      <w:r>
        <w:t xml:space="preserve">includes</w:t>
      </w:r>
      <w:r>
        <w:t xml:space="preserve"> </w:t>
      </w:r>
      <w:r>
        <w:rPr>
          <w:b/>
          <w:bCs/>
        </w:rPr>
        <w:t xml:space="preserve">quote logging</w:t>
      </w:r>
      <w:r>
        <w:t xml:space="preserve"> </w:t>
      </w:r>
      <w:r>
        <w:t xml:space="preserve">for best execution documentation and</w:t>
      </w:r>
      <w:r>
        <w:t xml:space="preserve"> </w:t>
      </w:r>
      <w:r>
        <w:rPr>
          <w:b/>
          <w:bCs/>
        </w:rPr>
        <w:t xml:space="preserve">work-up tracking</w:t>
      </w:r>
      <w:r>
        <w:t xml:space="preserve"> </w:t>
      </w:r>
      <w:r>
        <w:t xml:space="preserve">from indicative to firm prices.</w:t>
      </w:r>
    </w:p>
    <w:bookmarkEnd w:id="44"/>
    <w:bookmarkStart w:id="45" w:name="order-management-and-workflow-routing"/>
    <w:p>
      <w:pPr>
        <w:pStyle w:val="4"/>
      </w:pPr>
      <w:r>
        <w:t xml:space="preserve">3.1.2 Order Management and Workflow Routing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Workflow State</w:t>
            </w:r>
          </w:p>
        </w:tc>
        <w:tc>
          <w:tcPr/>
          <w:p>
            <w:pPr>
              <w:pStyle w:val="Compact"/>
              <w:jc w:val="left"/>
            </w:pPr>
            <w:r>
              <w:rPr>
                <w:b/>
                <w:bCs/>
              </w:rPr>
              <w:t xml:space="preserve">Responsible Party</w:t>
            </w:r>
          </w:p>
        </w:tc>
        <w:tc>
          <w:tcPr/>
          <w:p>
            <w:pPr>
              <w:pStyle w:val="Compact"/>
              <w:jc w:val="left"/>
            </w:pPr>
            <w:r>
              <w:rPr>
                <w:b/>
                <w:bCs/>
              </w:rPr>
              <w:t xml:space="preserve">Action Required</w:t>
            </w:r>
          </w:p>
        </w:tc>
        <w:tc>
          <w:tcPr/>
          <w:p>
            <w:pPr>
              <w:pStyle w:val="Compact"/>
              <w:jc w:val="left"/>
            </w:pPr>
            <w:r>
              <w:rPr>
                <w:b/>
                <w:bCs/>
              </w:rPr>
              <w:t xml:space="preserve">Escalation Trigger</w:t>
            </w:r>
          </w:p>
        </w:tc>
      </w:tr>
      <w:tr>
        <w:tc>
          <w:tcPr/>
          <w:p>
            <w:pPr>
              <w:pStyle w:val="Compact"/>
              <w:jc w:val="left"/>
            </w:pPr>
            <w:r>
              <w:t xml:space="preserve">Created</w:t>
            </w:r>
          </w:p>
        </w:tc>
        <w:tc>
          <w:tcPr/>
          <w:p>
            <w:pPr>
              <w:pStyle w:val="Compact"/>
              <w:jc w:val="left"/>
            </w:pPr>
            <w:r>
              <w:t xml:space="preserve">Front office trader</w:t>
            </w:r>
          </w:p>
        </w:tc>
        <w:tc>
          <w:tcPr/>
          <w:p>
            <w:pPr>
              <w:pStyle w:val="Compact"/>
              <w:jc w:val="left"/>
            </w:pPr>
            <w:r>
              <w:t xml:space="preserve">Entry completion</w:t>
            </w:r>
          </w:p>
        </w:tc>
        <w:tc>
          <w:tcPr/>
          <w:p>
            <w:pPr>
              <w:pStyle w:val="Compact"/>
              <w:jc w:val="left"/>
            </w:pPr>
            <w:r>
              <w:t xml:space="preserve">—</w:t>
            </w:r>
          </w:p>
        </w:tc>
      </w:tr>
      <w:tr>
        <w:tc>
          <w:tcPr/>
          <w:p>
            <w:pPr>
              <w:pStyle w:val="Compact"/>
              <w:jc w:val="left"/>
            </w:pPr>
            <w:r>
              <w:t xml:space="preserve">Pending approval</w:t>
            </w:r>
          </w:p>
        </w:tc>
        <w:tc>
          <w:tcPr/>
          <w:p>
            <w:pPr>
              <w:pStyle w:val="Compact"/>
              <w:jc w:val="left"/>
            </w:pPr>
            <w:r>
              <w:t xml:space="preserve">Front office supervisor</w:t>
            </w:r>
          </w:p>
        </w:tc>
        <w:tc>
          <w:tcPr/>
          <w:p>
            <w:pPr>
              <w:pStyle w:val="Compact"/>
              <w:jc w:val="left"/>
            </w:pPr>
            <w:r>
              <w:t xml:space="preserve">Four-eyes confirmation</w:t>
            </w:r>
          </w:p>
        </w:tc>
        <w:tc>
          <w:tcPr/>
          <w:p>
            <w:pPr>
              <w:pStyle w:val="Compact"/>
              <w:jc w:val="left"/>
            </w:pPr>
            <w:r>
              <w:t xml:space="preserve">Amount threshold, non-standard terms</w:t>
            </w:r>
          </w:p>
        </w:tc>
      </w:tr>
      <w:tr>
        <w:tc>
          <w:tcPr/>
          <w:p>
            <w:pPr>
              <w:pStyle w:val="Compact"/>
              <w:jc w:val="left"/>
            </w:pPr>
            <w:r>
              <w:t xml:space="preserve">Approved</w:t>
            </w:r>
          </w:p>
        </w:tc>
        <w:tc>
          <w:tcPr/>
          <w:p>
            <w:pPr>
              <w:pStyle w:val="Compact"/>
              <w:jc w:val="left"/>
            </w:pPr>
            <w:r>
              <w:t xml:space="preserve">System</w:t>
            </w:r>
          </w:p>
        </w:tc>
        <w:tc>
          <w:tcPr/>
          <w:p>
            <w:pPr>
              <w:pStyle w:val="Compact"/>
              <w:jc w:val="left"/>
            </w:pPr>
            <w:r>
              <w:t xml:space="preserve">Limit check, validation</w:t>
            </w:r>
          </w:p>
        </w:tc>
        <w:tc>
          <w:tcPr/>
          <w:p>
            <w:pPr>
              <w:pStyle w:val="Compact"/>
              <w:jc w:val="left"/>
            </w:pPr>
            <w:r>
              <w:t xml:space="preserve">Limit breach</w:t>
            </w:r>
          </w:p>
        </w:tc>
      </w:tr>
      <w:tr>
        <w:tc>
          <w:tcPr/>
          <w:p>
            <w:pPr>
              <w:pStyle w:val="Compact"/>
              <w:jc w:val="left"/>
            </w:pPr>
            <w:r>
              <w:t xml:space="preserve">Executed</w:t>
            </w:r>
          </w:p>
        </w:tc>
        <w:tc>
          <w:tcPr/>
          <w:p>
            <w:pPr>
              <w:pStyle w:val="Compact"/>
              <w:jc w:val="left"/>
            </w:pPr>
            <w:r>
              <w:t xml:space="preserve">Counterparty</w:t>
            </w:r>
          </w:p>
        </w:tc>
        <w:tc>
          <w:tcPr/>
          <w:p>
            <w:pPr>
              <w:pStyle w:val="Compact"/>
              <w:jc w:val="left"/>
            </w:pPr>
            <w:r>
              <w:t xml:space="preserve">Trade confirmation</w:t>
            </w:r>
          </w:p>
        </w:tc>
        <w:tc>
          <w:tcPr/>
          <w:p>
            <w:pPr>
              <w:pStyle w:val="Compact"/>
              <w:jc w:val="left"/>
            </w:pPr>
            <w:r>
              <w:t xml:space="preserve">Confirmation mismatch</w:t>
            </w:r>
          </w:p>
        </w:tc>
      </w:tr>
      <w:tr>
        <w:tc>
          <w:tcPr/>
          <w:p>
            <w:pPr>
              <w:pStyle w:val="Compact"/>
              <w:jc w:val="left"/>
            </w:pPr>
            <w:r>
              <w:t xml:space="preserve">Confirmed</w:t>
            </w:r>
          </w:p>
        </w:tc>
        <w:tc>
          <w:tcPr/>
          <w:p>
            <w:pPr>
              <w:pStyle w:val="Compact"/>
              <w:jc w:val="left"/>
            </w:pPr>
            <w:r>
              <w:t xml:space="preserve">Middle office</w:t>
            </w:r>
          </w:p>
        </w:tc>
        <w:tc>
          <w:tcPr/>
          <w:p>
            <w:pPr>
              <w:pStyle w:val="Compact"/>
              <w:jc w:val="left"/>
            </w:pPr>
            <w:r>
              <w:t xml:space="preserve">Independent verification</w:t>
            </w:r>
          </w:p>
        </w:tc>
        <w:tc>
          <w:tcPr/>
          <w:p>
            <w:pPr>
              <w:pStyle w:val="Compact"/>
              <w:jc w:val="left"/>
            </w:pPr>
            <w:r>
              <w:t xml:space="preserve">Price anomaly, unusual pattern</w:t>
            </w:r>
          </w:p>
        </w:tc>
      </w:tr>
      <w:tr>
        <w:tc>
          <w:tcPr/>
          <w:p>
            <w:pPr>
              <w:pStyle w:val="Compact"/>
              <w:jc w:val="left"/>
            </w:pPr>
            <w:r>
              <w:t xml:space="preserve">Settled</w:t>
            </w:r>
          </w:p>
        </w:tc>
        <w:tc>
          <w:tcPr/>
          <w:p>
            <w:pPr>
              <w:pStyle w:val="Compact"/>
              <w:jc w:val="left"/>
            </w:pPr>
            <w:r>
              <w:t xml:space="preserve">Back office</w:t>
            </w:r>
          </w:p>
        </w:tc>
        <w:tc>
          <w:tcPr/>
          <w:p>
            <w:pPr>
              <w:pStyle w:val="Compact"/>
              <w:jc w:val="left"/>
            </w:pPr>
            <w:r>
              <w:t xml:space="preserve">Instruction generation, transmission</w:t>
            </w:r>
          </w:p>
        </w:tc>
        <w:tc>
          <w:tcPr/>
          <w:p>
            <w:pPr>
              <w:pStyle w:val="Compact"/>
              <w:jc w:val="left"/>
            </w:pPr>
            <w:r>
              <w:t xml:space="preserve">Settlement failure</w:t>
            </w:r>
          </w:p>
        </w:tc>
      </w:tr>
    </w:tbl>
    <w:bookmarkEnd w:id="45"/>
    <w:bookmarkStart w:id="46" w:name="X7cb9df2bbee5b525875094807cc941f6b7ebbf2"/>
    <w:p>
      <w:pPr>
        <w:pStyle w:val="4"/>
      </w:pPr>
      <w:r>
        <w:t xml:space="preserve">3.1.3 Counterparty Limit Monitoring and Pre-Trade Controls</w:t>
      </w:r>
    </w:p>
    <w:p>
      <w:pPr>
        <w:pStyle w:val="FirstParagraph"/>
      </w:pPr>
      <w:r>
        <w:rPr>
          <w:b/>
          <w:bCs/>
        </w:rPr>
        <w:t xml:space="preserve">Real-time limit framework</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 Type</w:t>
            </w:r>
          </w:p>
        </w:tc>
        <w:tc>
          <w:tcPr/>
          <w:p>
            <w:pPr>
              <w:pStyle w:val="Compact"/>
              <w:jc w:val="left"/>
            </w:pPr>
            <w:r>
              <w:rPr>
                <w:b/>
                <w:bCs/>
              </w:rPr>
              <w:t xml:space="preserve">Calculation Basis</w:t>
            </w:r>
          </w:p>
        </w:tc>
        <w:tc>
          <w:tcPr/>
          <w:p>
            <w:pPr>
              <w:pStyle w:val="Compact"/>
              <w:jc w:val="left"/>
            </w:pPr>
            <w:r>
              <w:rPr>
                <w:b/>
                <w:bCs/>
              </w:rPr>
              <w:t xml:space="preserve">Response to Breach</w:t>
            </w:r>
          </w:p>
        </w:tc>
      </w:tr>
      <w:tr>
        <w:tc>
          <w:tcPr/>
          <w:p>
            <w:pPr>
              <w:pStyle w:val="Compact"/>
              <w:jc w:val="left"/>
            </w:pPr>
            <w:r>
              <w:t xml:space="preserve">Single transaction</w:t>
            </w:r>
          </w:p>
        </w:tc>
        <w:tc>
          <w:tcPr/>
          <w:p>
            <w:pPr>
              <w:pStyle w:val="Compact"/>
              <w:jc w:val="left"/>
            </w:pPr>
            <w:r>
              <w:t xml:space="preserve">Notional amount</w:t>
            </w:r>
          </w:p>
        </w:tc>
        <w:tc>
          <w:tcPr/>
          <w:p>
            <w:pPr>
              <w:pStyle w:val="Compact"/>
              <w:jc w:val="left"/>
            </w:pPr>
            <w:r>
              <w:t xml:space="preserve">Hard block with override workflow</w:t>
            </w:r>
          </w:p>
        </w:tc>
      </w:tr>
      <w:tr>
        <w:tc>
          <w:tcPr/>
          <w:p>
            <w:pPr>
              <w:pStyle w:val="Compact"/>
              <w:jc w:val="left"/>
            </w:pPr>
            <w:r>
              <w:t xml:space="preserve">Counterparty aggregate</w:t>
            </w:r>
          </w:p>
        </w:tc>
        <w:tc>
          <w:tcPr/>
          <w:p>
            <w:pPr>
              <w:pStyle w:val="Compact"/>
              <w:jc w:val="left"/>
            </w:pPr>
            <w:r>
              <w:t xml:space="preserve">Sum of exposures (settled + pending)</w:t>
            </w:r>
          </w:p>
        </w:tc>
        <w:tc>
          <w:tcPr/>
          <w:p>
            <w:pPr>
              <w:pStyle w:val="Compact"/>
              <w:jc w:val="left"/>
            </w:pPr>
            <w:r>
              <w:t xml:space="preserve">Warning at 80%, block at 100%</w:t>
            </w:r>
          </w:p>
        </w:tc>
      </w:tr>
      <w:tr>
        <w:tc>
          <w:tcPr/>
          <w:p>
            <w:pPr>
              <w:pStyle w:val="Compact"/>
              <w:jc w:val="left"/>
            </w:pPr>
            <w:r>
              <w:t xml:space="preserve">Tenor-based</w:t>
            </w:r>
          </w:p>
        </w:tc>
        <w:tc>
          <w:tcPr/>
          <w:p>
            <w:pPr>
              <w:pStyle w:val="Compact"/>
              <w:jc w:val="left"/>
            </w:pPr>
            <w:r>
              <w:t xml:space="preserve">Exposure by maturity bucket</w:t>
            </w:r>
          </w:p>
        </w:tc>
        <w:tc>
          <w:tcPr/>
          <w:p>
            <w:pPr>
              <w:pStyle w:val="Compact"/>
              <w:jc w:val="left"/>
            </w:pPr>
            <w:r>
              <w:t xml:space="preserve">Adjusted for collateral, netting</w:t>
            </w:r>
          </w:p>
        </w:tc>
      </w:tr>
      <w:tr>
        <w:tc>
          <w:tcPr/>
          <w:p>
            <w:pPr>
              <w:pStyle w:val="Compact"/>
              <w:jc w:val="left"/>
            </w:pPr>
            <w:r>
              <w:t xml:space="preserve">Concentration</w:t>
            </w:r>
          </w:p>
        </w:tc>
        <w:tc>
          <w:tcPr/>
          <w:p>
            <w:pPr>
              <w:pStyle w:val="Compact"/>
              <w:jc w:val="left"/>
            </w:pPr>
            <w:r>
              <w:t xml:space="preserve">Issuer, sector, rating distribution</w:t>
            </w:r>
          </w:p>
        </w:tc>
        <w:tc>
          <w:tcPr/>
          <w:p>
            <w:pPr>
              <w:pStyle w:val="Compact"/>
              <w:jc w:val="left"/>
            </w:pPr>
            <w:r>
              <w:t xml:space="preserve">Hard caps with board exception</w:t>
            </w:r>
          </w:p>
        </w:tc>
      </w:tr>
      <w:tr>
        <w:tc>
          <w:tcPr/>
          <w:p>
            <w:pPr>
              <w:pStyle w:val="Compact"/>
              <w:jc w:val="left"/>
            </w:pPr>
            <w:r>
              <w:t xml:space="preserve">Repo-specific</w:t>
            </w:r>
          </w:p>
        </w:tc>
        <w:tc>
          <w:tcPr/>
          <w:p>
            <w:pPr>
              <w:pStyle w:val="Compact"/>
              <w:jc w:val="left"/>
            </w:pPr>
            <w:r>
              <w:t xml:space="preserve">Cash amount vs. haircut-adjusted collateral</w:t>
            </w:r>
          </w:p>
        </w:tc>
        <w:tc>
          <w:tcPr/>
          <w:p>
            <w:pPr>
              <w:pStyle w:val="Compact"/>
              <w:jc w:val="left"/>
            </w:pPr>
            <w:r>
              <w:t xml:space="preserve">Dynamic based on collateral quality</w:t>
            </w:r>
          </w:p>
        </w:tc>
      </w:tr>
    </w:tbl>
    <w:bookmarkEnd w:id="46"/>
    <w:bookmarkStart w:id="47" w:name="Xe9cd551409e4904c75a81b280844725d3a01c48"/>
    <w:p>
      <w:pPr>
        <w:pStyle w:val="4"/>
      </w:pPr>
      <w:r>
        <w:t xml:space="preserve">3.1.4 Price Discovery and Market Data Integration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 Source</w:t>
            </w:r>
          </w:p>
        </w:tc>
        <w:tc>
          <w:tcPr/>
          <w:p>
            <w:pPr>
              <w:pStyle w:val="Compact"/>
              <w:jc w:val="left"/>
            </w:pPr>
            <w:r>
              <w:rPr>
                <w:b/>
                <w:bCs/>
              </w:rPr>
              <w:t xml:space="preserve">Content</w:t>
            </w:r>
          </w:p>
        </w:tc>
        <w:tc>
          <w:tcPr/>
          <w:p>
            <w:pPr>
              <w:pStyle w:val="Compact"/>
              <w:jc w:val="left"/>
            </w:pPr>
            <w:r>
              <w:rPr>
                <w:b/>
                <w:bCs/>
              </w:rPr>
              <w:t xml:space="preserve">Frequency</w:t>
            </w:r>
          </w:p>
        </w:tc>
        <w:tc>
          <w:tcPr/>
          <w:p>
            <w:pPr>
              <w:pStyle w:val="Compact"/>
              <w:jc w:val="left"/>
            </w:pPr>
            <w:r>
              <w:rPr>
                <w:b/>
                <w:bCs/>
              </w:rPr>
              <w:t xml:space="preserve">Use Case</w:t>
            </w:r>
          </w:p>
        </w:tc>
      </w:tr>
      <w:tr>
        <w:tc>
          <w:tcPr/>
          <w:p>
            <w:pPr>
              <w:pStyle w:val="Compact"/>
              <w:jc w:val="left"/>
            </w:pPr>
            <w:r>
              <w:t xml:space="preserve">ThaiBMA</w:t>
            </w:r>
          </w:p>
        </w:tc>
        <w:tc>
          <w:tcPr/>
          <w:p>
            <w:pPr>
              <w:pStyle w:val="Compact"/>
              <w:jc w:val="left"/>
            </w:pPr>
            <w:r>
              <w:t xml:space="preserve">Reference prices, THOR, market statistics</w:t>
            </w:r>
          </w:p>
        </w:tc>
        <w:tc>
          <w:tcPr/>
          <w:p>
            <w:pPr>
              <w:pStyle w:val="Compact"/>
              <w:jc w:val="left"/>
            </w:pPr>
            <w:r>
              <w:t xml:space="preserve">Daily/Real-time</w:t>
            </w:r>
          </w:p>
        </w:tc>
        <w:tc>
          <w:tcPr/>
          <w:p>
            <w:pPr>
              <w:pStyle w:val="Compact"/>
              <w:jc w:val="left"/>
            </w:pPr>
            <w:r>
              <w:t xml:space="preserve">Mark-to-market, benchmark comparison</w:t>
            </w:r>
          </w:p>
        </w:tc>
      </w:tr>
      <w:tr>
        <w:tc>
          <w:tcPr/>
          <w:p>
            <w:pPr>
              <w:pStyle w:val="Compact"/>
              <w:jc w:val="left"/>
            </w:pPr>
            <w:r>
              <w:t xml:space="preserve">Bloomberg/Reuters</w:t>
            </w:r>
          </w:p>
        </w:tc>
        <w:tc>
          <w:tcPr/>
          <w:p>
            <w:pPr>
              <w:pStyle w:val="Compact"/>
              <w:jc w:val="left"/>
            </w:pPr>
            <w:r>
              <w:t xml:space="preserve">Real-time quotes, analytics, news</w:t>
            </w:r>
          </w:p>
        </w:tc>
        <w:tc>
          <w:tcPr/>
          <w:p>
            <w:pPr>
              <w:pStyle w:val="Compact"/>
              <w:jc w:val="left"/>
            </w:pPr>
            <w:r>
              <w:t xml:space="preserve">Real-time</w:t>
            </w:r>
          </w:p>
        </w:tc>
        <w:tc>
          <w:tcPr/>
          <w:p>
            <w:pPr>
              <w:pStyle w:val="Compact"/>
              <w:jc w:val="left"/>
            </w:pPr>
            <w:r>
              <w:t xml:space="preserve">Pre-trade analysis, price validation</w:t>
            </w:r>
          </w:p>
        </w:tc>
      </w:tr>
      <w:tr>
        <w:tc>
          <w:tcPr/>
          <w:p>
            <w:pPr>
              <w:pStyle w:val="Compact"/>
              <w:jc w:val="left"/>
            </w:pPr>
            <w:r>
              <w:t xml:space="preserve">BOT</w:t>
            </w:r>
          </w:p>
        </w:tc>
        <w:tc>
          <w:tcPr/>
          <w:p>
            <w:pPr>
              <w:pStyle w:val="Compact"/>
              <w:jc w:val="left"/>
            </w:pPr>
            <w:r>
              <w:t xml:space="preserve">Policy rate, yield curves, auction announcements</w:t>
            </w:r>
          </w:p>
        </w:tc>
        <w:tc>
          <w:tcPr/>
          <w:p>
            <w:pPr>
              <w:pStyle w:val="Compact"/>
              <w:jc w:val="left"/>
            </w:pPr>
            <w:r>
              <w:t xml:space="preserve">As published</w:t>
            </w:r>
          </w:p>
        </w:tc>
        <w:tc>
          <w:tcPr/>
          <w:p>
            <w:pPr>
              <w:pStyle w:val="Compact"/>
              <w:jc w:val="left"/>
            </w:pPr>
            <w:r>
              <w:t xml:space="preserve">Monetary policy operations, pricing</w:t>
            </w:r>
          </w:p>
        </w:tc>
      </w:tr>
      <w:tr>
        <w:tc>
          <w:tcPr/>
          <w:p>
            <w:pPr>
              <w:pStyle w:val="Compact"/>
              <w:jc w:val="left"/>
            </w:pPr>
            <w:r>
              <w:t xml:space="preserve">Internal</w:t>
            </w:r>
          </w:p>
        </w:tc>
        <w:tc>
          <w:tcPr/>
          <w:p>
            <w:pPr>
              <w:pStyle w:val="Compact"/>
              <w:jc w:val="left"/>
            </w:pPr>
            <w:r>
              <w:t xml:space="preserve">Historical trades, counterparty quotes</w:t>
            </w:r>
          </w:p>
        </w:tc>
        <w:tc>
          <w:tcPr/>
          <w:p>
            <w:pPr>
              <w:pStyle w:val="Compact"/>
              <w:jc w:val="left"/>
            </w:pPr>
            <w:r>
              <w:t xml:space="preserve">Continuous</w:t>
            </w:r>
          </w:p>
        </w:tc>
        <w:tc>
          <w:tcPr/>
          <w:p>
            <w:pPr>
              <w:pStyle w:val="Compact"/>
              <w:jc w:val="left"/>
            </w:pPr>
            <w:r>
              <w:t xml:space="preserve">Relationship pricing, best execution</w:t>
            </w:r>
          </w:p>
        </w:tc>
      </w:tr>
    </w:tbl>
    <w:bookmarkEnd w:id="47"/>
    <w:bookmarkStart w:id="48" w:name="X79f97dd692a0fe9a151ae74e20b4cf5cd048cd5"/>
    <w:p>
      <w:pPr>
        <w:pStyle w:val="4"/>
      </w:pPr>
      <w:r>
        <w:t xml:space="preserve">3.1.5 ThaiBMA Trade Reporting Interface (30-Minute Reporting Obligation)</w:t>
      </w:r>
    </w:p>
    <w:p>
      <w:pPr>
        <w:pStyle w:val="FirstParagraph"/>
      </w:pPr>
      <w:r>
        <w:rPr>
          <w:b/>
          <w:bCs/>
        </w:rPr>
        <w:t xml:space="preserve">Automated reporting workflow</w:t>
      </w:r>
      <w:r>
        <w:t xml:space="preserve">:</w:t>
      </w:r>
    </w:p>
    <w:p>
      <w:pPr>
        <w:pStyle w:val="SourceCode"/>
      </w:pPr>
      <w:r>
        <w:br/>
      </w:r>
      <w:r>
        <w:rPr>
          <w:rStyle w:val="VerbatimChar"/>
        </w:rPr>
        <w:t xml:space="preserve">Trade Execution → Immediate Capture → Validation → Formatting → </w:t>
      </w:r>
      <w:r>
        <w:br/>
      </w:r>
      <w:r>
        <w:rPr>
          <w:rStyle w:val="VerbatimChar"/>
        </w:rPr>
        <w:t xml:space="preserve">Transmission → Acknowledgment Receipt → Exception Handling (if needed)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Monitoring Element</w:t>
            </w:r>
          </w:p>
        </w:tc>
        <w:tc>
          <w:tcPr/>
          <w:p>
            <w:pPr>
              <w:pStyle w:val="Compact"/>
              <w:jc w:val="left"/>
            </w:pPr>
            <w:r>
              <w:rPr>
                <w:b/>
                <w:bCs/>
              </w:rPr>
              <w:t xml:space="preserve">Threshold</w:t>
            </w:r>
          </w:p>
        </w:tc>
        <w:tc>
          <w:tcPr/>
          <w:p>
            <w:pPr>
              <w:pStyle w:val="Compact"/>
              <w:jc w:val="left"/>
            </w:pPr>
            <w:r>
              <w:rPr>
                <w:b/>
                <w:bCs/>
              </w:rPr>
              <w:t xml:space="preserve">Action</w:t>
            </w:r>
          </w:p>
        </w:tc>
      </w:tr>
      <w:tr>
        <w:tc>
          <w:tcPr/>
          <w:p>
            <w:pPr>
              <w:pStyle w:val="Compact"/>
              <w:jc w:val="left"/>
            </w:pPr>
            <w:r>
              <w:t xml:space="preserve">Time to report</w:t>
            </w:r>
          </w:p>
        </w:tc>
        <w:tc>
          <w:tcPr/>
          <w:p>
            <w:pPr>
              <w:pStyle w:val="Compact"/>
              <w:jc w:val="left"/>
            </w:pPr>
            <w:r>
              <w:t xml:space="preserve">20 minutes (10-min buffer)</w:t>
            </w:r>
          </w:p>
        </w:tc>
        <w:tc>
          <w:tcPr/>
          <w:p>
            <w:pPr>
              <w:pStyle w:val="Compact"/>
              <w:jc w:val="left"/>
            </w:pPr>
            <w:r>
              <w:t xml:space="preserve">Amber alert</w:t>
            </w:r>
          </w:p>
        </w:tc>
      </w:tr>
      <w:tr>
        <w:tc>
          <w:tcPr/>
          <w:p>
            <w:pPr>
              <w:pStyle w:val="Compact"/>
              <w:jc w:val="left"/>
            </w:pPr>
            <w:r>
              <w:t xml:space="preserve">Time to report</w:t>
            </w:r>
          </w:p>
        </w:tc>
        <w:tc>
          <w:tcPr/>
          <w:p>
            <w:pPr>
              <w:pStyle w:val="Compact"/>
              <w:jc w:val="left"/>
            </w:pPr>
            <w:r>
              <w:t xml:space="preserve">28 minutes</w:t>
            </w:r>
          </w:p>
        </w:tc>
        <w:tc>
          <w:tcPr/>
          <w:p>
            <w:pPr>
              <w:pStyle w:val="Compact"/>
              <w:jc w:val="left"/>
            </w:pPr>
            <w:r>
              <w:t xml:space="preserve">Red alert, manual escalation</w:t>
            </w:r>
          </w:p>
        </w:tc>
      </w:tr>
      <w:tr>
        <w:tc>
          <w:tcPr/>
          <w:p>
            <w:pPr>
              <w:pStyle w:val="Compact"/>
              <w:jc w:val="left"/>
            </w:pPr>
            <w:r>
              <w:t xml:space="preserve">Acknowledgment pending</w:t>
            </w:r>
          </w:p>
        </w:tc>
        <w:tc>
          <w:tcPr/>
          <w:p>
            <w:pPr>
              <w:pStyle w:val="Compact"/>
              <w:jc w:val="left"/>
            </w:pPr>
            <w:r>
              <w:t xml:space="preserve">5 minutes</w:t>
            </w:r>
          </w:p>
        </w:tc>
        <w:tc>
          <w:tcPr/>
          <w:p>
            <w:pPr>
              <w:pStyle w:val="Compact"/>
              <w:jc w:val="left"/>
            </w:pPr>
            <w:r>
              <w:t xml:space="preserve">Retry, backup transmission</w:t>
            </w:r>
          </w:p>
        </w:tc>
      </w:tr>
      <w:tr>
        <w:tc>
          <w:tcPr/>
          <w:p>
            <w:pPr>
              <w:pStyle w:val="Compact"/>
              <w:jc w:val="left"/>
            </w:pPr>
            <w:r>
              <w:t xml:space="preserve">Rejection received</w:t>
            </w:r>
          </w:p>
        </w:tc>
        <w:tc>
          <w:tcPr/>
          <w:p>
            <w:pPr>
              <w:pStyle w:val="Compact"/>
              <w:jc w:val="left"/>
            </w:pPr>
            <w:r>
              <w:t xml:space="preserve">Immediate</w:t>
            </w:r>
          </w:p>
        </w:tc>
        <w:tc>
          <w:tcPr/>
          <w:p>
            <w:pPr>
              <w:pStyle w:val="Compact"/>
              <w:jc w:val="left"/>
            </w:pPr>
            <w:r>
              <w:t xml:space="preserve">Investigation, correction, resubmission</w:t>
            </w:r>
          </w:p>
        </w:tc>
      </w:tr>
    </w:tbl>
    <w:bookmarkEnd w:id="48"/>
    <w:bookmarkEnd w:id="49"/>
    <w:bookmarkStart w:id="56" w:name="settlement-module"/>
    <w:p>
      <w:pPr>
        <w:pStyle w:val="3"/>
      </w:pPr>
      <w:r>
        <w:t xml:space="preserve">3.2 Settlement Module</w:t>
      </w:r>
    </w:p>
    <w:bookmarkStart w:id="50" w:name="X33eb25f2e98c7001a1c13296ce52ff906fdd3f8"/>
    <w:p>
      <w:pPr>
        <w:pStyle w:val="4"/>
      </w:pPr>
      <w:r>
        <w:t xml:space="preserve">3.2.1 TSD Integration for Corporate Bond Settlement (DVP Model 1)</w:t>
      </w:r>
    </w:p>
    <w:p>
      <w:pPr>
        <w:pStyle w:val="FirstParagraph"/>
      </w:pPr>
      <w:r>
        <w:rPr>
          <w:b/>
          <w:bCs/>
        </w:rPr>
        <w:t xml:space="preserve">TSD DVP Model 1</w:t>
      </w:r>
      <w:r>
        <w:t xml:space="preserve"> </w:t>
      </w:r>
      <w:r>
        <w:t xml:space="preserve">achieves</w:t>
      </w:r>
      <w:r>
        <w:t xml:space="preserve"> </w:t>
      </w:r>
      <w:r>
        <w:rPr>
          <w:b/>
          <w:bCs/>
        </w:rPr>
        <w:t xml:space="preserve">simultaneous, irrevocable settlement</w:t>
      </w:r>
      <w:r>
        <w:t xml:space="preserve"> </w:t>
      </w:r>
      <w:r>
        <w:t xml:space="preserve">of securities and cash on</w:t>
      </w:r>
      <w:r>
        <w:t xml:space="preserve"> </w:t>
      </w:r>
      <w:r>
        <w:rPr>
          <w:b/>
          <w:bCs/>
        </w:rPr>
        <w:t xml:space="preserve">gross, trade-by-trade basis</w:t>
      </w:r>
      <w:r>
        <w:t xml:space="preserve">.</w:t>
      </w:r>
      <w:r>
        <w:t xml:space="preserve"> </w:t>
      </w:r>
      <w:r>
        <w:rPr>
          <w:b/>
          <w:bCs/>
        </w:rPr>
        <w:t xml:space="preserve">Critical integration points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Message Type</w:t>
            </w:r>
          </w:p>
        </w:tc>
        <w:tc>
          <w:tcPr/>
          <w:p>
            <w:pPr>
              <w:pStyle w:val="Compact"/>
              <w:jc w:val="left"/>
            </w:pPr>
            <w:r>
              <w:rPr>
                <w:b/>
                <w:bCs/>
              </w:rPr>
              <w:t xml:space="preserve">Purpose</w:t>
            </w:r>
          </w:p>
        </w:tc>
        <w:tc>
          <w:tcPr/>
          <w:p>
            <w:pPr>
              <w:pStyle w:val="Compact"/>
              <w:jc w:val="left"/>
            </w:pPr>
            <w:r>
              <w:rPr>
                <w:b/>
                <w:bCs/>
              </w:rPr>
              <w:t xml:space="preserve">Timing</w:t>
            </w:r>
          </w:p>
        </w:tc>
      </w:tr>
      <w:tr>
        <w:tc>
          <w:tcPr/>
          <w:p>
            <w:pPr>
              <w:pStyle w:val="Compact"/>
              <w:jc w:val="left"/>
            </w:pPr>
            <w:r>
              <w:t xml:space="preserve">Settlement instruction</w:t>
            </w:r>
          </w:p>
        </w:tc>
        <w:tc>
          <w:tcPr/>
          <w:p>
            <w:pPr>
              <w:pStyle w:val="Compact"/>
              <w:jc w:val="left"/>
            </w:pPr>
            <w:r>
              <w:t xml:space="preserve">Initiate DVP process</w:t>
            </w:r>
          </w:p>
        </w:tc>
        <w:tc>
          <w:tcPr/>
          <w:p>
            <w:pPr>
              <w:pStyle w:val="Compact"/>
              <w:jc w:val="left"/>
            </w:pPr>
            <w:r>
              <w:t xml:space="preserve">T+0 to T+2, before cutoff</w:t>
            </w:r>
          </w:p>
        </w:tc>
      </w:tr>
      <w:tr>
        <w:tc>
          <w:tcPr/>
          <w:p>
            <w:pPr>
              <w:pStyle w:val="Compact"/>
              <w:jc w:val="left"/>
            </w:pPr>
            <w:r>
              <w:t xml:space="preserve">PSMS submission</w:t>
            </w:r>
          </w:p>
        </w:tc>
        <w:tc>
          <w:tcPr/>
          <w:p>
            <w:pPr>
              <w:pStyle w:val="Compact"/>
              <w:jc w:val="left"/>
            </w:pPr>
            <w:r>
              <w:t xml:space="preserve">Pre-settlement matching</w:t>
            </w:r>
          </w:p>
        </w:tc>
        <w:tc>
          <w:tcPr/>
          <w:p>
            <w:pPr>
              <w:pStyle w:val="Compact"/>
              <w:jc w:val="left"/>
            </w:pPr>
            <w:r>
              <w:t xml:space="preserve">Prior to settlement date</w:t>
            </w:r>
          </w:p>
        </w:tc>
      </w:tr>
      <w:tr>
        <w:tc>
          <w:tcPr/>
          <w:p>
            <w:pPr>
              <w:pStyle w:val="Compact"/>
              <w:jc w:val="left"/>
            </w:pPr>
            <w:r>
              <w:t xml:space="preserve">Position inquiry</w:t>
            </w:r>
          </w:p>
        </w:tc>
        <w:tc>
          <w:tcPr/>
          <w:p>
            <w:pPr>
              <w:pStyle w:val="Compact"/>
              <w:jc w:val="left"/>
            </w:pPr>
            <w:r>
              <w:t xml:space="preserve">Verify available securities</w:t>
            </w:r>
          </w:p>
        </w:tc>
        <w:tc>
          <w:tcPr/>
          <w:p>
            <w:pPr>
              <w:pStyle w:val="Compact"/>
              <w:jc w:val="left"/>
            </w:pPr>
            <w:r>
              <w:t xml:space="preserve">Pre-trade, pre-settlement</w:t>
            </w:r>
          </w:p>
        </w:tc>
      </w:tr>
      <w:tr>
        <w:tc>
          <w:tcPr/>
          <w:p>
            <w:pPr>
              <w:pStyle w:val="Compact"/>
              <w:jc w:val="left"/>
            </w:pPr>
            <w:r>
              <w:t xml:space="preserve">Corporate action notification</w:t>
            </w:r>
          </w:p>
        </w:tc>
        <w:tc>
          <w:tcPr/>
          <w:p>
            <w:pPr>
              <w:pStyle w:val="Compact"/>
              <w:jc w:val="left"/>
            </w:pPr>
            <w:r>
              <w:t xml:space="preserve">Process coupons, redemptions</w:t>
            </w:r>
          </w:p>
        </w:tc>
        <w:tc>
          <w:tcPr/>
          <w:p>
            <w:pPr>
              <w:pStyle w:val="Compact"/>
              <w:jc w:val="left"/>
            </w:pPr>
            <w:r>
              <w:t xml:space="preserve">As announced</w:t>
            </w:r>
          </w:p>
        </w:tc>
      </w:tr>
      <w:tr>
        <w:tc>
          <w:tcPr/>
          <w:p>
            <w:pPr>
              <w:pStyle w:val="Compact"/>
              <w:jc w:val="left"/>
            </w:pPr>
            <w:r>
              <w:t xml:space="preserve">Confirmation</w:t>
            </w:r>
          </w:p>
        </w:tc>
        <w:tc>
          <w:tcPr/>
          <w:p>
            <w:pPr>
              <w:pStyle w:val="Compact"/>
              <w:jc w:val="left"/>
            </w:pPr>
            <w:r>
              <w:t xml:space="preserve">Verify settlement completion</w:t>
            </w:r>
          </w:p>
        </w:tc>
        <w:tc>
          <w:tcPr/>
          <w:p>
            <w:pPr>
              <w:pStyle w:val="Compact"/>
              <w:jc w:val="left"/>
            </w:pPr>
            <w:r>
              <w:t xml:space="preserve">Real-time upon execution</w:t>
            </w:r>
          </w:p>
        </w:tc>
      </w:tr>
    </w:tbl>
    <w:p>
      <w:pPr>
        <w:pStyle w:val="a0"/>
      </w:pPr>
      <w:r>
        <w:rPr>
          <w:b/>
          <w:bCs/>
        </w:rPr>
        <w:t xml:space="preserve">Since November 2017: TSD prohibits debit balances</w:t>
      </w:r>
      <w:r>
        <w:t xml:space="preserve">—trades with insufficient securities remain pending until resolved.</w:t>
      </w:r>
    </w:p>
    <w:bookmarkEnd w:id="50"/>
    <w:bookmarkStart w:id="51" w:name="X5e981dbbe7ef5da04e0315a061c541a5acaafdd"/>
    <w:p>
      <w:pPr>
        <w:pStyle w:val="4"/>
      </w:pPr>
      <w:r>
        <w:t xml:space="preserve">3.2.2 Bank of Thailand Settlement for Government Securities (BAHTNET RTGS)</w:t>
      </w:r>
    </w:p>
    <w:p>
      <w:pPr>
        <w:pStyle w:val="FirstParagraph"/>
      </w:pPr>
      <w:r>
        <w:rPr>
          <w:b/>
          <w:bCs/>
        </w:rPr>
        <w:t xml:space="preserve">BAHTNET RTGS</w:t>
      </w:r>
      <w:r>
        <w:t xml:space="preserve"> </w:t>
      </w:r>
      <w:r>
        <w:t xml:space="preserve">provides</w:t>
      </w:r>
      <w:r>
        <w:t xml:space="preserve"> </w:t>
      </w:r>
      <w:r>
        <w:rPr>
          <w:b/>
          <w:bCs/>
        </w:rPr>
        <w:t xml:space="preserve">immediate finality</w:t>
      </w:r>
      <w:r>
        <w:t xml:space="preserve"> </w:t>
      </w:r>
      <w:r>
        <w:t xml:space="preserve">for government securities and high-value payments. Integration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Function</w:t>
            </w:r>
          </w:p>
        </w:tc>
        <w:tc>
          <w:tcPr/>
          <w:p>
            <w:pPr>
              <w:pStyle w:val="Compact"/>
              <w:jc w:val="left"/>
            </w:pPr>
            <w:r>
              <w:rPr>
                <w:b/>
                <w:bCs/>
              </w:rPr>
              <w:t xml:space="preserve">Implementation</w:t>
            </w:r>
          </w:p>
        </w:tc>
      </w:tr>
      <w:tr>
        <w:tc>
          <w:tcPr/>
          <w:p>
            <w:pPr>
              <w:pStyle w:val="Compact"/>
              <w:jc w:val="left"/>
            </w:pPr>
            <w:r>
              <w:t xml:space="preserve">Payment message generation</w:t>
            </w:r>
          </w:p>
        </w:tc>
        <w:tc>
          <w:tcPr/>
          <w:p>
            <w:pPr>
              <w:pStyle w:val="Compact"/>
              <w:jc w:val="left"/>
            </w:pPr>
            <w:r>
              <w:t xml:space="preserve">SWIFT MT103 or domestic equivalent, unique references</w:t>
            </w:r>
          </w:p>
        </w:tc>
      </w:tr>
      <w:tr>
        <w:tc>
          <w:tcPr/>
          <w:p>
            <w:pPr>
              <w:pStyle w:val="Compact"/>
              <w:jc w:val="left"/>
            </w:pPr>
            <w:r>
              <w:t xml:space="preserve">Liquidity monitoring</w:t>
            </w:r>
          </w:p>
        </w:tc>
        <w:tc>
          <w:tcPr/>
          <w:p>
            <w:pPr>
              <w:pStyle w:val="Compact"/>
              <w:jc w:val="left"/>
            </w:pPr>
            <w:r>
              <w:t xml:space="preserve">Real-time central bank reserve balance, projected needs</w:t>
            </w:r>
          </w:p>
        </w:tc>
      </w:tr>
      <w:tr>
        <w:tc>
          <w:tcPr/>
          <w:p>
            <w:pPr>
              <w:pStyle w:val="Compact"/>
              <w:jc w:val="left"/>
            </w:pPr>
            <w:r>
              <w:t xml:space="preserve">Settlement prioritization</w:t>
            </w:r>
          </w:p>
        </w:tc>
        <w:tc>
          <w:tcPr/>
          <w:p>
            <w:pPr>
              <w:pStyle w:val="Compact"/>
              <w:jc w:val="left"/>
            </w:pPr>
            <w:r>
              <w:t xml:space="preserve">Time-critical payments first, queue management</w:t>
            </w:r>
          </w:p>
        </w:tc>
      </w:tr>
      <w:tr>
        <w:tc>
          <w:tcPr/>
          <w:p>
            <w:pPr>
              <w:pStyle w:val="Compact"/>
              <w:jc w:val="left"/>
            </w:pPr>
            <w:r>
              <w:t xml:space="preserve">Finality confirmation</w:t>
            </w:r>
          </w:p>
        </w:tc>
        <w:tc>
          <w:tcPr/>
          <w:p>
            <w:pPr>
              <w:pStyle w:val="Compact"/>
              <w:jc w:val="left"/>
            </w:pPr>
            <w:r>
              <w:t xml:space="preserve">Irrevocable settlement acknowledgment</w:t>
            </w:r>
          </w:p>
        </w:tc>
      </w:tr>
      <w:tr>
        <w:tc>
          <w:tcPr/>
          <w:p>
            <w:pPr>
              <w:pStyle w:val="Compact"/>
              <w:jc w:val="left"/>
            </w:pPr>
            <w:r>
              <w:t xml:space="preserve">End-of-day reconciliation</w:t>
            </w:r>
          </w:p>
        </w:tc>
        <w:tc>
          <w:tcPr/>
          <w:p>
            <w:pPr>
              <w:pStyle w:val="Compact"/>
              <w:jc w:val="left"/>
            </w:pPr>
            <w:r>
              <w:t xml:space="preserve">BAHTNET statement vs. internal records</w:t>
            </w:r>
          </w:p>
        </w:tc>
      </w:tr>
    </w:tbl>
    <w:bookmarkEnd w:id="51"/>
    <w:bookmarkStart w:id="52" w:name="repo-lifecycle-management"/>
    <w:p>
      <w:pPr>
        <w:pStyle w:val="4"/>
      </w:pPr>
      <w:r>
        <w:t xml:space="preserve">3.2.3 Repo Lifecycle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Lifecycle Stage</w:t>
            </w:r>
          </w:p>
        </w:tc>
        <w:tc>
          <w:tcPr/>
          <w:p>
            <w:pPr>
              <w:pStyle w:val="Compact"/>
              <w:jc w:val="left"/>
            </w:pPr>
            <w:r>
              <w:rPr>
                <w:b/>
                <w:bCs/>
              </w:rPr>
              <w:t xml:space="preserve">System Functionality</w:t>
            </w:r>
          </w:p>
        </w:tc>
        <w:tc>
          <w:tcPr/>
          <w:p>
            <w:pPr>
              <w:pStyle w:val="Compact"/>
              <w:jc w:val="left"/>
            </w:pPr>
            <w:r>
              <w:rPr>
                <w:b/>
                <w:bCs/>
              </w:rPr>
              <w:t xml:space="preserve">Key Data Elements</w:t>
            </w:r>
          </w:p>
        </w:tc>
      </w:tr>
      <w:tr>
        <w:tc>
          <w:tcPr/>
          <w:p>
            <w:pPr>
              <w:pStyle w:val="Compact"/>
              <w:jc w:val="left"/>
            </w:pPr>
            <w:r>
              <w:rPr>
                <w:b/>
                <w:bCs/>
              </w:rPr>
              <w:t xml:space="preserve">Initial trade</w:t>
            </w:r>
          </w:p>
        </w:tc>
        <w:tc>
          <w:tcPr/>
          <w:p>
            <w:pPr>
              <w:pStyle w:val="Compact"/>
              <w:jc w:val="left"/>
            </w:pPr>
            <w:r>
              <w:t xml:space="preserve">Record terms, select collateral, generate instructions</w:t>
            </w:r>
          </w:p>
        </w:tc>
        <w:tc>
          <w:tcPr/>
          <w:p>
            <w:pPr>
              <w:pStyle w:val="Compact"/>
              <w:jc w:val="left"/>
            </w:pPr>
            <w:r>
              <w:t xml:space="preserve">Rate, tenor, collateral ID, haircut, margin terms</w:t>
            </w:r>
          </w:p>
        </w:tc>
      </w:tr>
      <w:tr>
        <w:tc>
          <w:tcPr/>
          <w:p>
            <w:pPr>
              <w:pStyle w:val="Compact"/>
              <w:jc w:val="left"/>
            </w:pPr>
            <w:r>
              <w:rPr>
                <w:b/>
                <w:bCs/>
              </w:rPr>
              <w:t xml:space="preserve">Daily operations</w:t>
            </w:r>
          </w:p>
        </w:tc>
        <w:tc>
          <w:tcPr/>
          <w:p>
            <w:pPr>
              <w:pStyle w:val="Compact"/>
              <w:jc w:val="left"/>
            </w:pPr>
            <w:r>
              <w:t xml:space="preserve">Mark-to-market, margin calculation, substitution processing</w:t>
            </w:r>
          </w:p>
        </w:tc>
        <w:tc>
          <w:tcPr/>
          <w:p>
            <w:pPr>
              <w:pStyle w:val="Compact"/>
              <w:jc w:val="left"/>
            </w:pPr>
            <w:r>
              <w:t xml:space="preserve">Market prices, exposure vs. collateral value, margin calls</w:t>
            </w:r>
          </w:p>
        </w:tc>
      </w:tr>
      <w:tr>
        <w:tc>
          <w:tcPr/>
          <w:p>
            <w:pPr>
              <w:pStyle w:val="Compact"/>
              <w:jc w:val="left"/>
            </w:pPr>
            <w:r>
              <w:rPr>
                <w:b/>
                <w:bCs/>
              </w:rPr>
              <w:t xml:space="preserve">Coupon processing</w:t>
            </w:r>
          </w:p>
        </w:tc>
        <w:tc>
          <w:tcPr/>
          <w:p>
            <w:pPr>
              <w:pStyle w:val="Compact"/>
              <w:jc w:val="left"/>
            </w:pPr>
            <w:r>
              <w:t xml:space="preserve">Pass-through to collateral provider (if applicable)</w:t>
            </w:r>
          </w:p>
        </w:tc>
        <w:tc>
          <w:tcPr/>
          <w:p>
            <w:pPr>
              <w:pStyle w:val="Compact"/>
              <w:jc w:val="left"/>
            </w:pPr>
            <w:r>
              <w:t xml:space="preserve">Coupon amount, timing, tax treatment</w:t>
            </w:r>
          </w:p>
        </w:tc>
      </w:tr>
      <w:tr>
        <w:tc>
          <w:tcPr/>
          <w:p>
            <w:pPr>
              <w:pStyle w:val="Compact"/>
              <w:jc w:val="left"/>
            </w:pPr>
            <w:r>
              <w:rPr>
                <w:b/>
                <w:bCs/>
              </w:rPr>
              <w:t xml:space="preserve">Maturity</w:t>
            </w:r>
          </w:p>
        </w:tc>
        <w:tc>
          <w:tcPr/>
          <w:p>
            <w:pPr>
              <w:pStyle w:val="Compact"/>
              <w:jc w:val="left"/>
            </w:pPr>
            <w:r>
              <w:t xml:space="preserve">Calculate final amount, prepare settlement, close position</w:t>
            </w:r>
          </w:p>
        </w:tc>
        <w:tc>
          <w:tcPr/>
          <w:p>
            <w:pPr>
              <w:pStyle w:val="Compact"/>
              <w:jc w:val="left"/>
            </w:pPr>
            <w:r>
              <w:t xml:space="preserve">Principal + accrued interest, return collateral</w:t>
            </w:r>
          </w:p>
        </w:tc>
      </w:tr>
      <w:tr>
        <w:tc>
          <w:tcPr/>
          <w:p>
            <w:pPr>
              <w:pStyle w:val="Compact"/>
              <w:jc w:val="left"/>
            </w:pPr>
            <w:r>
              <w:rPr>
                <w:b/>
                <w:bCs/>
              </w:rPr>
              <w:t xml:space="preserve">Rollover</w:t>
            </w:r>
          </w:p>
        </w:tc>
        <w:tc>
          <w:tcPr/>
          <w:p>
            <w:pPr>
              <w:pStyle w:val="Compact"/>
              <w:jc w:val="left"/>
            </w:pPr>
            <w:r>
              <w:t xml:space="preserve">Terminate original, create replacement, document continuity</w:t>
            </w:r>
          </w:p>
        </w:tc>
        <w:tc>
          <w:tcPr/>
          <w:p>
            <w:pPr>
              <w:pStyle w:val="Compact"/>
              <w:jc w:val="left"/>
            </w:pPr>
            <w:r>
              <w:t xml:space="preserve">New rate, tenor, collateral (same or refreshed)</w:t>
            </w:r>
          </w:p>
        </w:tc>
      </w:tr>
    </w:tbl>
    <w:bookmarkEnd w:id="52"/>
    <w:bookmarkStart w:id="53" w:name="X5f8a27632d92ce11a43240f812334816940e924"/>
    <w:p>
      <w:pPr>
        <w:pStyle w:val="4"/>
      </w:pPr>
      <w:r>
        <w:t xml:space="preserve">3.2.4 Pre-Settlement Matching System (PSMS) Interface</w:t>
      </w:r>
    </w:p>
    <w:p>
      <w:pPr>
        <w:pStyle w:val="FirstParagraph"/>
      </w:pPr>
      <w:r>
        <w:rPr>
          <w:b/>
          <w:bCs/>
        </w:rPr>
        <w:t xml:space="preserve">PSMS mandatory matching fields</w:t>
      </w:r>
      <w:r>
        <w:t xml:space="preserve"> </w:t>
      </w:r>
      <w:r>
        <w:t xml:space="preserve">- |</w:t>
      </w:r>
      <w:r>
        <w:t xml:space="preserve"> </w:t>
      </w:r>
      <w:r>
        <w:rPr>
          <w:b/>
          <w:bCs/>
        </w:rPr>
        <w:t xml:space="preserve">Field</w:t>
      </w:r>
      <w:r>
        <w:t xml:space="preserve"> </w:t>
      </w:r>
      <w:r>
        <w:t xml:space="preserve">|</w:t>
      </w:r>
      <w:r>
        <w:t xml:space="preserve"> </w:t>
      </w:r>
      <w:r>
        <w:rPr>
          <w:b/>
          <w:bCs/>
        </w:rPr>
        <w:t xml:space="preserve">Source</w:t>
      </w:r>
      <w:r>
        <w:t xml:space="preserve"> </w:t>
      </w:r>
      <w:r>
        <w:t xml:space="preserve">|</w:t>
      </w:r>
      <w:r>
        <w:t xml:space="preserve"> </w:t>
      </w:r>
      <w:r>
        <w:rPr>
          <w:b/>
          <w:bCs/>
        </w:rPr>
        <w:t xml:space="preserve">Validation</w:t>
      </w:r>
      <w:r>
        <w:t xml:space="preserve"> </w:t>
      </w:r>
      <w:r>
        <w:t xml:space="preserve">|</w:t>
      </w:r>
      <w:r>
        <w:t xml:space="preserve"> </w:t>
      </w:r>
      <w:r>
        <w:t xml:space="preserve">|:—|:—|:—|</w:t>
      </w:r>
      <w:r>
        <w:t xml:space="preserve"> </w:t>
      </w:r>
      <w:r>
        <w:t xml:space="preserve">| Trade type (DvP/FoP) | Trade capture | System default DvP for purchases |</w:t>
      </w:r>
      <w:r>
        <w:t xml:space="preserve"> </w:t>
      </w:r>
      <w:r>
        <w:t xml:space="preserve">| Settlement amount | Calculated | Matches trade economics |</w:t>
      </w:r>
      <w:r>
        <w:t xml:space="preserve"> </w:t>
      </w:r>
      <w:r>
        <w:t xml:space="preserve">| Settlement date | Calculated | Business day, within T+2 |</w:t>
      </w:r>
      <w:r>
        <w:t xml:space="preserve"> </w:t>
      </w:r>
      <w:r>
        <w:t xml:space="preserve">| Securities volume | Trade capture | Matches nominal amount |</w:t>
      </w:r>
      <w:r>
        <w:t xml:space="preserve"> </w:t>
      </w:r>
      <w:r>
        <w:t xml:space="preserve">| ISIN | Security master | Valid, active |</w:t>
      </w:r>
      <w:r>
        <w:t xml:space="preserve"> </w:t>
      </w:r>
      <w:r>
        <w:t xml:space="preserve">| Counterparty depository account | Counterparty master | Mandatory for bonds |</w:t>
      </w:r>
    </w:p>
    <w:bookmarkEnd w:id="53"/>
    <w:bookmarkStart w:id="54" w:name="X40a6d6683356c52447777f2d6fc772e20986faf"/>
    <w:p>
      <w:pPr>
        <w:pStyle w:val="4"/>
      </w:pPr>
      <w:r>
        <w:t xml:space="preserve">3.2.5 Settlement Failure Handling and Exception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Failure Type</w:t>
            </w:r>
          </w:p>
        </w:tc>
        <w:tc>
          <w:tcPr/>
          <w:p>
            <w:pPr>
              <w:pStyle w:val="Compact"/>
              <w:jc w:val="left"/>
            </w:pPr>
            <w:r>
              <w:rPr>
                <w:b/>
                <w:bCs/>
              </w:rPr>
              <w:t xml:space="preserve">Root Cause</w:t>
            </w:r>
          </w:p>
        </w:tc>
        <w:tc>
          <w:tcPr/>
          <w:p>
            <w:pPr>
              <w:pStyle w:val="Compact"/>
              <w:jc w:val="left"/>
            </w:pPr>
            <w:r>
              <w:rPr>
                <w:b/>
                <w:bCs/>
              </w:rPr>
              <w:t xml:space="preserve">Resolution Workflow</w:t>
            </w:r>
          </w:p>
        </w:tc>
      </w:tr>
      <w:tr>
        <w:tc>
          <w:tcPr/>
          <w:p>
            <w:pPr>
              <w:pStyle w:val="Compact"/>
              <w:jc w:val="left"/>
            </w:pPr>
            <w:r>
              <w:t xml:space="preserve">Securities fail</w:t>
            </w:r>
          </w:p>
        </w:tc>
        <w:tc>
          <w:tcPr/>
          <w:p>
            <w:pPr>
              <w:pStyle w:val="Compact"/>
              <w:jc w:val="left"/>
            </w:pPr>
            <w:r>
              <w:t xml:space="preserve">Insufficient position</w:t>
            </w:r>
          </w:p>
        </w:tc>
        <w:tc>
          <w:tcPr/>
          <w:p>
            <w:pPr>
              <w:pStyle w:val="Compact"/>
              <w:jc w:val="left"/>
            </w:pPr>
            <w:r>
              <w:t xml:space="preserve">Securities borrowing, purchase, or settlement date extension</w:t>
            </w:r>
          </w:p>
        </w:tc>
      </w:tr>
      <w:tr>
        <w:tc>
          <w:tcPr/>
          <w:p>
            <w:pPr>
              <w:pStyle w:val="Compact"/>
              <w:jc w:val="left"/>
            </w:pPr>
            <w:r>
              <w:t xml:space="preserve">Cash fail</w:t>
            </w:r>
          </w:p>
        </w:tc>
        <w:tc>
          <w:tcPr/>
          <w:p>
            <w:pPr>
              <w:pStyle w:val="Compact"/>
              <w:jc w:val="left"/>
            </w:pPr>
            <w:r>
              <w:t xml:space="preserve">Insufficient BAHTNET funds</w:t>
            </w:r>
          </w:p>
        </w:tc>
        <w:tc>
          <w:tcPr/>
          <w:p>
            <w:pPr>
              <w:pStyle w:val="Compact"/>
              <w:jc w:val="left"/>
            </w:pPr>
            <w:r>
              <w:t xml:space="preserve">Intraday liquidity mobilization, overdraft arrangement</w:t>
            </w:r>
          </w:p>
        </w:tc>
      </w:tr>
      <w:tr>
        <w:tc>
          <w:tcPr/>
          <w:p>
            <w:pPr>
              <w:pStyle w:val="Compact"/>
              <w:jc w:val="left"/>
            </w:pPr>
            <w:r>
              <w:t xml:space="preserve">Technical fail</w:t>
            </w:r>
          </w:p>
        </w:tc>
        <w:tc>
          <w:tcPr/>
          <w:p>
            <w:pPr>
              <w:pStyle w:val="Compact"/>
              <w:jc w:val="left"/>
            </w:pPr>
            <w:r>
              <w:t xml:space="preserve">System/communication error</w:t>
            </w:r>
          </w:p>
        </w:tc>
        <w:tc>
          <w:tcPr/>
          <w:p>
            <w:pPr>
              <w:pStyle w:val="Compact"/>
              <w:jc w:val="left"/>
            </w:pPr>
            <w:r>
              <w:t xml:space="preserve">IT escalation, manual processing contingency</w:t>
            </w:r>
          </w:p>
        </w:tc>
      </w:tr>
      <w:tr>
        <w:tc>
          <w:tcPr/>
          <w:p>
            <w:pPr>
              <w:pStyle w:val="Compact"/>
              <w:jc w:val="left"/>
            </w:pPr>
            <w:r>
              <w:t xml:space="preserve">Mismatch fail</w:t>
            </w:r>
          </w:p>
        </w:tc>
        <w:tc>
          <w:tcPr/>
          <w:p>
            <w:pPr>
              <w:pStyle w:val="Compact"/>
              <w:jc w:val="left"/>
            </w:pPr>
            <w:r>
              <w:t xml:space="preserve">PSMS rejection</w:t>
            </w:r>
          </w:p>
        </w:tc>
        <w:tc>
          <w:tcPr/>
          <w:p>
            <w:pPr>
              <w:pStyle w:val="Compact"/>
              <w:jc w:val="left"/>
            </w:pPr>
            <w:r>
              <w:t xml:space="preserve">Counterparty coordination, correction, resubmission</w:t>
            </w:r>
          </w:p>
        </w:tc>
      </w:tr>
    </w:tbl>
    <w:bookmarkEnd w:id="54"/>
    <w:bookmarkStart w:id="55" w:name="t2-settlement-cycle-compliance"/>
    <w:p>
      <w:pPr>
        <w:pStyle w:val="4"/>
      </w:pPr>
      <w:r>
        <w:t xml:space="preserve">3.2.6 T+2 Settlement Cycle Compliance</w:t>
      </w:r>
    </w:p>
    <w:p>
      <w:pPr>
        <w:pStyle w:val="FirstParagraph"/>
      </w:pPr>
      <w:r>
        <w:rPr>
          <w:b/>
          <w:bCs/>
        </w:rPr>
        <w:t xml:space="preserve">Settlement date calculation</w:t>
      </w:r>
      <w:r>
        <w:t xml:space="preserve"> </w:t>
      </w:r>
      <w:r>
        <w:t xml:space="preserve">must incorporate:</w:t>
      </w:r>
    </w:p>
    <w:p>
      <w:pPr>
        <w:numPr>
          <w:ilvl w:val="0"/>
          <w:numId w:val="1003"/>
        </w:numPr>
      </w:pPr>
      <w:r>
        <w:rPr>
          <w:b/>
          <w:bCs/>
        </w:rPr>
        <w:t xml:space="preserve">Thai business day convention</w:t>
      </w:r>
      <w:r>
        <w:t xml:space="preserve"> </w:t>
      </w:r>
      <w:r>
        <w:t xml:space="preserve">(Monday–Friday, excluding holidays)</w:t>
      </w:r>
    </w:p>
    <w:p>
      <w:pPr>
        <w:numPr>
          <w:ilvl w:val="0"/>
          <w:numId w:val="1003"/>
        </w:numPr>
      </w:pPr>
      <w:r>
        <w:rPr>
          <w:b/>
          <w:bCs/>
        </w:rPr>
        <w:t xml:space="preserve">Official holiday calendar</w:t>
      </w:r>
      <w:r>
        <w:t xml:space="preserve"> </w:t>
      </w:r>
      <w:r>
        <w:t xml:space="preserve">(Bank of Thailand published)</w:t>
      </w:r>
    </w:p>
    <w:p>
      <w:pPr>
        <w:numPr>
          <w:ilvl w:val="0"/>
          <w:numId w:val="1003"/>
        </w:numPr>
      </w:pPr>
      <w:r>
        <w:rPr>
          <w:b/>
          <w:bCs/>
        </w:rPr>
        <w:t xml:space="preserve">Cutoff time awareness</w:t>
      </w:r>
      <w:r>
        <w:t xml:space="preserve"> </w:t>
      </w:r>
      <w:r>
        <w:t xml:space="preserve">(TSD: typically 14:00 for same-day; BAHTNET: session-based)</w:t>
      </w:r>
    </w:p>
    <w:bookmarkEnd w:id="55"/>
    <w:bookmarkEnd w:id="56"/>
    <w:bookmarkStart w:id="67" w:name="accounting-module"/>
    <w:p>
      <w:pPr>
        <w:pStyle w:val="3"/>
      </w:pPr>
      <w:r>
        <w:t xml:space="preserve">3.3 Accounting Module</w:t>
      </w:r>
    </w:p>
    <w:bookmarkStart w:id="60" w:name="Xdc7d2612f1ae08258dff9420d997111f096ad00"/>
    <w:p>
      <w:pPr>
        <w:pStyle w:val="4"/>
      </w:pPr>
      <w:r>
        <w:t xml:space="preserve">3.3.1 TFRS 9 / IFRS 9 Financial Instrument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Business Model</w:t>
            </w:r>
          </w:p>
        </w:tc>
        <w:tc>
          <w:tcPr/>
          <w:p>
            <w:pPr>
              <w:pStyle w:val="Compact"/>
              <w:jc w:val="left"/>
            </w:pPr>
            <w:r>
              <w:rPr>
                <w:b/>
                <w:bCs/>
              </w:rPr>
              <w:t xml:space="preserve">SPPI Test</w:t>
            </w:r>
          </w:p>
        </w:tc>
        <w:tc>
          <w:tcPr/>
          <w:p>
            <w:pPr>
              <w:pStyle w:val="Compact"/>
              <w:jc w:val="left"/>
            </w:pPr>
            <w:r>
              <w:rPr>
                <w:b/>
                <w:bCs/>
              </w:rPr>
              <w:t xml:space="preserve">Measurement</w:t>
            </w:r>
          </w:p>
        </w:tc>
        <w:tc>
          <w:tcPr/>
          <w:p>
            <w:pPr>
              <w:pStyle w:val="Compact"/>
              <w:jc w:val="left"/>
            </w:pPr>
            <w:r>
              <w:rPr>
                <w:b/>
                <w:bCs/>
              </w:rPr>
              <w:t xml:space="preserve">P&amp;L Impact</w:t>
            </w:r>
          </w:p>
        </w:tc>
      </w:tr>
      <w:tr>
        <w:tc>
          <w:tcPr/>
          <w:p>
            <w:pPr>
              <w:pStyle w:val="Compact"/>
              <w:jc w:val="left"/>
            </w:pPr>
            <w:r>
              <w:rPr>
                <w:b/>
                <w:bCs/>
              </w:rPr>
              <w:t xml:space="preserve">Amortized Cost</w:t>
            </w:r>
          </w:p>
        </w:tc>
        <w:tc>
          <w:tcPr/>
          <w:p>
            <w:pPr>
              <w:pStyle w:val="Compact"/>
              <w:jc w:val="left"/>
            </w:pPr>
            <w:r>
              <w:t xml:space="preserve">Hold to collect</w:t>
            </w:r>
          </w:p>
        </w:tc>
        <w:tc>
          <w:tcPr/>
          <w:p>
            <w:pPr>
              <w:pStyle w:val="Compact"/>
              <w:jc w:val="left"/>
            </w:pPr>
            <w:r>
              <w:t xml:space="preserve">Pass</w:t>
            </w:r>
          </w:p>
        </w:tc>
        <w:tc>
          <w:tcPr/>
          <w:p>
            <w:pPr>
              <w:pStyle w:val="Compact"/>
              <w:jc w:val="left"/>
            </w:pPr>
            <w:r>
              <w:t xml:space="preserve">Amortized cost using EIR</w:t>
            </w:r>
          </w:p>
        </w:tc>
        <w:tc>
          <w:tcPr/>
          <w:p>
            <w:pPr>
              <w:pStyle w:val="Compact"/>
              <w:jc w:val="left"/>
            </w:pPr>
            <w:r>
              <w:t xml:space="preserve">Interest income only; impairment if any</w:t>
            </w:r>
          </w:p>
        </w:tc>
      </w:tr>
      <w:tr>
        <w:tc>
          <w:tcPr/>
          <w:p>
            <w:pPr>
              <w:pStyle w:val="Compact"/>
              <w:jc w:val="left"/>
            </w:pPr>
            <w:r>
              <w:rPr>
                <w:b/>
                <w:bCs/>
              </w:rPr>
              <w:t xml:space="preserve">FVOCI</w:t>
            </w:r>
          </w:p>
        </w:tc>
        <w:tc>
          <w:tcPr/>
          <w:p>
            <w:pPr>
              <w:pStyle w:val="Compact"/>
              <w:jc w:val="left"/>
            </w:pPr>
            <w:r>
              <w:t xml:space="preserve">Hold to collect and sell</w:t>
            </w:r>
          </w:p>
        </w:tc>
        <w:tc>
          <w:tcPr/>
          <w:p>
            <w:pPr>
              <w:pStyle w:val="Compact"/>
              <w:jc w:val="left"/>
            </w:pPr>
            <w:r>
              <w:t xml:space="preserve">Pass</w:t>
            </w:r>
          </w:p>
        </w:tc>
        <w:tc>
          <w:tcPr/>
          <w:p>
            <w:pPr>
              <w:pStyle w:val="Compact"/>
              <w:jc w:val="left"/>
            </w:pPr>
            <w:r>
              <w:t xml:space="preserve">Fair value; OCI for FV changes</w:t>
            </w:r>
          </w:p>
        </w:tc>
        <w:tc>
          <w:tcPr/>
          <w:p>
            <w:pPr>
              <w:pStyle w:val="Compact"/>
              <w:jc w:val="left"/>
            </w:pPr>
            <w:r>
              <w:t xml:space="preserve">Interest income in P&amp;L; FV changes in OCI, recycled on sale</w:t>
            </w:r>
          </w:p>
        </w:tc>
      </w:tr>
      <w:tr>
        <w:tc>
          <w:tcPr/>
          <w:p>
            <w:pPr>
              <w:pStyle w:val="Compact"/>
              <w:jc w:val="left"/>
            </w:pPr>
            <w:r>
              <w:rPr>
                <w:b/>
                <w:bCs/>
              </w:rPr>
              <w:t xml:space="preserve">FVTPL</w:t>
            </w:r>
          </w:p>
        </w:tc>
        <w:tc>
          <w:tcPr/>
          <w:p>
            <w:pPr>
              <w:pStyle w:val="Compact"/>
              <w:jc w:val="left"/>
            </w:pPr>
            <w:r>
              <w:t xml:space="preserve">Trading or other</w:t>
            </w:r>
          </w:p>
        </w:tc>
        <w:tc>
          <w:tcPr/>
          <w:p>
            <w:pPr>
              <w:pStyle w:val="Compact"/>
              <w:jc w:val="left"/>
            </w:pPr>
            <w:r>
              <w:t xml:space="preserve">Fail or elective</w:t>
            </w:r>
          </w:p>
        </w:tc>
        <w:tc>
          <w:tcPr/>
          <w:p>
            <w:pPr>
              <w:pStyle w:val="Compact"/>
              <w:jc w:val="left"/>
            </w:pPr>
            <w:r>
              <w:t xml:space="preserve">Fair value</w:t>
            </w:r>
          </w:p>
        </w:tc>
        <w:tc>
          <w:tcPr/>
          <w:p>
            <w:pPr>
              <w:pStyle w:val="Compact"/>
              <w:jc w:val="left"/>
            </w:pPr>
            <w:r>
              <w:t xml:space="preserve">All changes in P&amp;L</w:t>
            </w:r>
          </w:p>
        </w:tc>
      </w:tr>
    </w:tbl>
    <w:bookmarkStart w:id="57" w:name="Xd1232bce83ea76de329809f1ab0f6643fc2421e"/>
    <w:p>
      <w:pPr>
        <w:pStyle w:val="5"/>
      </w:pPr>
      <w:r>
        <w:t xml:space="preserve">3.3.1.1 Amortized Cost Category (Hold-to-Collect Business Model)</w:t>
      </w:r>
    </w:p>
    <w:p>
      <w:pPr>
        <w:pStyle w:val="FirstParagraph"/>
      </w:pPr>
      <w:r>
        <w:rPr>
          <w:b/>
          <w:bCs/>
        </w:rPr>
        <w:t xml:space="preserve">Appropriate for</w:t>
      </w:r>
      <w:r>
        <w:t xml:space="preserve">: Core liquidity buffers, strategic government bond holdings, high-grade corporate bonds with long-term hold intent.</w:t>
      </w:r>
    </w:p>
    <w:p>
      <w:pPr>
        <w:pStyle w:val="a0"/>
      </w:pPr>
      <w:r>
        <w:rPr>
          <w:b/>
          <w:bCs/>
        </w:rPr>
        <w:t xml:space="preserve">System implementation</w:t>
      </w:r>
      <w:r>
        <w:t xml:space="preserve">:</w:t>
      </w:r>
    </w:p>
    <w:p>
      <w:pPr>
        <w:numPr>
          <w:ilvl w:val="0"/>
          <w:numId w:val="1004"/>
        </w:numPr>
      </w:pPr>
      <w:r>
        <w:rPr>
          <w:b/>
          <w:bCs/>
        </w:rPr>
        <w:t xml:space="preserve">Effective interest rate calculation</w:t>
      </w:r>
      <w:r>
        <w:t xml:space="preserve"> </w:t>
      </w:r>
      <w:r>
        <w:t xml:space="preserve">at initial recognition:</w:t>
      </w:r>
    </w:p>
    <w:p>
      <w:pPr>
        <w:pStyle w:val="a0"/>
      </w:pPr>
      <m:oMathPara>
        <m:oMathParaPr>
          <m:jc m:val="center"/>
        </m:oMathParaPr>
        <m:oMath>
          <m:r>
            <m:t>E</m:t>
          </m:r>
          <m:r>
            <m:t>I</m:t>
          </m:r>
          <m:r>
            <m:t>R</m:t>
          </m:r>
          <m:r>
            <m:rPr>
              <m:sty m:val="p"/>
            </m:rPr>
            <m:t>=</m:t>
          </m:r>
          <m:r>
            <m:rPr>
              <m:nor/>
              <m:sty m:val="p"/>
            </m:rPr>
            <m:t>rate that discounts estimated future cash flows to initial carrying amount</m:t>
          </m:r>
        </m:oMath>
      </m:oMathPara>
    </w:p>
    <w:p>
      <w:pPr>
        <w:numPr>
          <w:ilvl w:val="0"/>
          <w:numId w:val="1004"/>
        </w:numPr>
      </w:pPr>
      <w:r>
        <w:rPr>
          <w:b/>
          <w:bCs/>
        </w:rPr>
        <w:t xml:space="preserve">Premium/discount amortization</w:t>
      </w:r>
      <w:r>
        <w:t xml:space="preserve">: systematic over instrument life to maturity</w:t>
      </w:r>
    </w:p>
    <w:p>
      <w:pPr>
        <w:numPr>
          <w:ilvl w:val="0"/>
          <w:numId w:val="1004"/>
        </w:numPr>
      </w:pPr>
      <w:r>
        <w:rPr>
          <w:b/>
          <w:bCs/>
        </w:rPr>
        <w:t xml:space="preserve">Impairment</w:t>
      </w:r>
      <w:r>
        <w:t xml:space="preserve">: 12-month ECL (Stage 1) or lifetime ECL if credit deterioration</w:t>
      </w:r>
    </w:p>
    <w:bookmarkEnd w:id="57"/>
    <w:bookmarkStart w:id="58" w:name="X8aff7049cce4d9f132c4d3f2baab3453a6aa545"/>
    <w:p>
      <w:pPr>
        <w:pStyle w:val="5"/>
      </w:pPr>
      <w:r>
        <w:t xml:space="preserve">3.3.1.2 Fair Value Through Other Comprehensive Income (FVOCI)</w:t>
      </w:r>
    </w:p>
    <w:p>
      <w:pPr>
        <w:pStyle w:val="FirstParagraph"/>
      </w:pPr>
      <w:r>
        <w:rPr>
          <w:b/>
          <w:bCs/>
        </w:rPr>
        <w:t xml:space="preserve">Appropriate for</w:t>
      </w:r>
      <w:r>
        <w:t xml:space="preserve">: Flexible liquidity portfolios where sale is possible but not primary objective.</w:t>
      </w:r>
    </w:p>
    <w:p>
      <w:pPr>
        <w:pStyle w:val="a0"/>
      </w:pPr>
      <w:r>
        <w:rPr>
          <w:b/>
          <w:bCs/>
        </w:rPr>
        <w:t xml:space="preserve">Critical mechanics</w:t>
      </w:r>
      <w:r>
        <w:t xml:space="preserve">:</w:t>
      </w:r>
    </w:p>
    <w:p>
      <w:pPr>
        <w:numPr>
          <w:ilvl w:val="0"/>
          <w:numId w:val="1005"/>
        </w:numPr>
      </w:pPr>
      <w:r>
        <w:rPr>
          <w:b/>
          <w:bCs/>
        </w:rPr>
        <w:t xml:space="preserve">Dual tracking</w:t>
      </w:r>
      <w:r>
        <w:t xml:space="preserve">: amortized cost basis for interest income; fair value for balance sheet</w:t>
      </w:r>
    </w:p>
    <w:p>
      <w:pPr>
        <w:numPr>
          <w:ilvl w:val="0"/>
          <w:numId w:val="1005"/>
        </w:numPr>
      </w:pPr>
      <w:r>
        <w:rPr>
          <w:b/>
          <w:bCs/>
        </w:rPr>
        <w:t xml:space="preserve">OCI recycling</w:t>
      </w:r>
      <w:r>
        <w:t xml:space="preserve">: cumulative FV gains/losses transfer to P&amp;L upon derecognition</w:t>
      </w:r>
    </w:p>
    <w:p>
      <w:pPr>
        <w:numPr>
          <w:ilvl w:val="0"/>
          <w:numId w:val="1005"/>
        </w:numPr>
      </w:pPr>
      <w:r>
        <w:rPr>
          <w:b/>
          <w:bCs/>
        </w:rPr>
        <w:t xml:space="preserve">Impairment</w:t>
      </w:r>
      <w:r>
        <w:t xml:space="preserve">: recognized in P&amp;L (not OCI), with OCI balance adjustment</w:t>
      </w:r>
    </w:p>
    <w:bookmarkEnd w:id="58"/>
    <w:bookmarkStart w:id="59" w:name="fair-value-through-profit-or-loss-fvtpl"/>
    <w:p>
      <w:pPr>
        <w:pStyle w:val="5"/>
      </w:pPr>
      <w:r>
        <w:t xml:space="preserve">3.3.1.3 Fair Value Through Profit or Loss (FVTPL)</w:t>
      </w:r>
    </w:p>
    <w:p>
      <w:pPr>
        <w:pStyle w:val="FirstParagraph"/>
      </w:pPr>
      <w:r>
        <w:rPr>
          <w:b/>
          <w:bCs/>
        </w:rPr>
        <w:t xml:space="preserve">Appropriate for</w:t>
      </w:r>
      <w:r>
        <w:t xml:space="preserve">: Trading positions, instruments failing SPPI (e.g., convertible bonds), elective designation to eliminate accounting mismatch.</w:t>
      </w:r>
    </w:p>
    <w:p>
      <w:pPr>
        <w:pStyle w:val="a0"/>
      </w:pPr>
      <w:r>
        <w:rPr>
          <w:b/>
          <w:bCs/>
        </w:rPr>
        <w:t xml:space="preserve">Characteristics</w:t>
      </w:r>
      <w:r>
        <w:t xml:space="preserve">:</w:t>
      </w:r>
    </w:p>
    <w:p>
      <w:pPr>
        <w:numPr>
          <w:ilvl w:val="0"/>
          <w:numId w:val="1006"/>
        </w:numPr>
      </w:pPr>
      <w:r>
        <w:rPr>
          <w:b/>
          <w:bCs/>
        </w:rPr>
        <w:t xml:space="preserve">Transaction costs expensed immediately</w:t>
      </w:r>
      <w:r>
        <w:t xml:space="preserve"> </w:t>
      </w:r>
      <w:r>
        <w:t xml:space="preserve">(not capitalized)</w:t>
      </w:r>
    </w:p>
    <w:p>
      <w:pPr>
        <w:numPr>
          <w:ilvl w:val="0"/>
          <w:numId w:val="1006"/>
        </w:numPr>
      </w:pPr>
      <w:r>
        <w:rPr>
          <w:b/>
          <w:bCs/>
        </w:rPr>
        <w:t xml:space="preserve">No impairment</w:t>
      </w:r>
      <w:r>
        <w:t xml:space="preserve">—all credit risk reflected in fair value</w:t>
      </w:r>
    </w:p>
    <w:p>
      <w:pPr>
        <w:numPr>
          <w:ilvl w:val="0"/>
          <w:numId w:val="1006"/>
        </w:numPr>
      </w:pPr>
      <w:r>
        <w:rPr>
          <w:b/>
          <w:bCs/>
        </w:rPr>
        <w:t xml:space="preserve">Most transparent</w:t>
      </w:r>
      <w:r>
        <w:t xml:space="preserve"> </w:t>
      </w:r>
      <w:r>
        <w:t xml:space="preserve">for trading performance, highest P&amp;L volatility</w:t>
      </w:r>
    </w:p>
    <w:bookmarkEnd w:id="59"/>
    <w:bookmarkEnd w:id="60"/>
    <w:bookmarkStart w:id="61" w:name="X54545b5ac5670d19433d406b9ee3424839f488f"/>
    <w:p>
      <w:pPr>
        <w:pStyle w:val="4"/>
      </w:pPr>
      <w:r>
        <w:t xml:space="preserve">3.3.2 SPPI Test Implementation for Instrument Eligibility</w:t>
      </w:r>
    </w:p>
    <w:p>
      <w:pPr>
        <w:pStyle w:val="FirstParagraph"/>
      </w:pPr>
      <w:r>
        <w:rPr>
          <w:b/>
          <w:bCs/>
        </w:rPr>
        <w:t xml:space="preserve">SPPI failure indicators</w:t>
      </w:r>
      <w:r>
        <w:t xml:space="preserve"> </w:t>
      </w:r>
      <w:r>
        <w:t xml:space="preserve">requiring manual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SPPI Impact</w:t>
            </w:r>
          </w:p>
        </w:tc>
        <w:tc>
          <w:tcPr/>
          <w:p>
            <w:pPr>
              <w:pStyle w:val="Compact"/>
              <w:jc w:val="left"/>
            </w:pPr>
            <w:r>
              <w:rPr>
                <w:b/>
                <w:bCs/>
              </w:rPr>
              <w:t xml:space="preserve">Example</w:t>
            </w:r>
          </w:p>
        </w:tc>
      </w:tr>
      <w:tr>
        <w:tc>
          <w:tcPr/>
          <w:p>
            <w:pPr>
              <w:pStyle w:val="Compact"/>
              <w:jc w:val="left"/>
            </w:pPr>
            <w:r>
              <w:t xml:space="preserve">Leverage</w:t>
            </w:r>
          </w:p>
        </w:tc>
        <w:tc>
          <w:tcPr/>
          <w:p>
            <w:pPr>
              <w:pStyle w:val="Compact"/>
              <w:jc w:val="left"/>
            </w:pPr>
            <w:r>
              <w:t xml:space="preserve">Fail</w:t>
            </w:r>
          </w:p>
        </w:tc>
        <w:tc>
          <w:tcPr/>
          <w:p>
            <w:pPr>
              <w:pStyle w:val="Compact"/>
              <w:jc w:val="left"/>
            </w:pPr>
            <w:r>
              <w:t xml:space="preserve">Inverse floater, leveraged return</w:t>
            </w:r>
          </w:p>
        </w:tc>
      </w:tr>
      <w:tr>
        <w:tc>
          <w:tcPr/>
          <w:p>
            <w:pPr>
              <w:pStyle w:val="Compact"/>
              <w:jc w:val="left"/>
            </w:pPr>
            <w:r>
              <w:t xml:space="preserve">Non-standard interest</w:t>
            </w:r>
          </w:p>
        </w:tc>
        <w:tc>
          <w:tcPr/>
          <w:p>
            <w:pPr>
              <w:pStyle w:val="Compact"/>
              <w:jc w:val="left"/>
            </w:pPr>
            <w:r>
              <w:t xml:space="preserve">Fail</w:t>
            </w:r>
          </w:p>
        </w:tc>
        <w:tc>
          <w:tcPr/>
          <w:p>
            <w:pPr>
              <w:pStyle w:val="Compact"/>
              <w:jc w:val="left"/>
            </w:pPr>
            <w:r>
              <w:t xml:space="preserve">Equity-linked, commodity-linked coupon</w:t>
            </w:r>
          </w:p>
        </w:tc>
      </w:tr>
      <w:tr>
        <w:tc>
          <w:tcPr/>
          <w:p>
            <w:pPr>
              <w:pStyle w:val="Compact"/>
              <w:jc w:val="left"/>
            </w:pPr>
            <w:r>
              <w:t xml:space="preserve">Prepayment option (favorable)</w:t>
            </w:r>
          </w:p>
        </w:tc>
        <w:tc>
          <w:tcPr/>
          <w:p>
            <w:pPr>
              <w:pStyle w:val="Compact"/>
              <w:jc w:val="left"/>
            </w:pPr>
            <w:r>
              <w:t xml:space="preserve">Potential fail</w:t>
            </w:r>
          </w:p>
        </w:tc>
        <w:tc>
          <w:tcPr/>
          <w:p>
            <w:pPr>
              <w:pStyle w:val="Compact"/>
              <w:jc w:val="left"/>
            </w:pPr>
            <w:r>
              <w:t xml:space="preserve">Deep discount prepayment at par</w:t>
            </w:r>
          </w:p>
        </w:tc>
      </w:tr>
      <w:tr>
        <w:tc>
          <w:tcPr/>
          <w:p>
            <w:pPr>
              <w:pStyle w:val="Compact"/>
              <w:jc w:val="left"/>
            </w:pPr>
            <w:r>
              <w:t xml:space="preserve">Extension option (non-market)</w:t>
            </w:r>
          </w:p>
        </w:tc>
        <w:tc>
          <w:tcPr/>
          <w:p>
            <w:pPr>
              <w:pStyle w:val="Compact"/>
              <w:jc w:val="left"/>
            </w:pPr>
            <w:r>
              <w:t xml:space="preserve">Potential fail</w:t>
            </w:r>
          </w:p>
        </w:tc>
        <w:tc>
          <w:tcPr/>
          <w:p>
            <w:pPr>
              <w:pStyle w:val="Compact"/>
              <w:jc w:val="left"/>
            </w:pPr>
            <w:r>
              <w:t xml:space="preserve">Extension at below-market rate</w:t>
            </w:r>
          </w:p>
        </w:tc>
      </w:tr>
      <w:tr>
        <w:tc>
          <w:tcPr/>
          <w:p>
            <w:pPr>
              <w:pStyle w:val="Compact"/>
              <w:jc w:val="left"/>
            </w:pPr>
            <w:r>
              <w:t xml:space="preserve">Conversion feature</w:t>
            </w:r>
          </w:p>
        </w:tc>
        <w:tc>
          <w:tcPr/>
          <w:p>
            <w:pPr>
              <w:pStyle w:val="Compact"/>
              <w:jc w:val="left"/>
            </w:pPr>
            <w:r>
              <w:t xml:space="preserve">Fail</w:t>
            </w:r>
          </w:p>
        </w:tc>
        <w:tc>
          <w:tcPr/>
          <w:p>
            <w:pPr>
              <w:pStyle w:val="Compact"/>
              <w:jc w:val="left"/>
            </w:pPr>
            <w:r>
              <w:t xml:space="preserve">Convertible bonds</w:t>
            </w:r>
          </w:p>
        </w:tc>
      </w:tr>
    </w:tbl>
    <w:bookmarkEnd w:id="61"/>
    <w:bookmarkStart w:id="62" w:name="X78ccc592f37464d2975c21e62cce37040f15d02"/>
    <w:p>
      <w:pPr>
        <w:pStyle w:val="4"/>
      </w:pPr>
      <w:r>
        <w:t xml:space="preserve">3.3.3 Expected Credit Loss (ECL) Impairment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Data Source</w:t>
            </w:r>
          </w:p>
        </w:tc>
        <w:tc>
          <w:tcPr/>
          <w:p>
            <w:pPr>
              <w:pStyle w:val="Compact"/>
              <w:jc w:val="left"/>
            </w:pPr>
            <w:r>
              <w:rPr>
                <w:b/>
                <w:bCs/>
              </w:rPr>
              <w:t xml:space="preserve">Methodology</w:t>
            </w:r>
          </w:p>
        </w:tc>
      </w:tr>
      <w:tr>
        <w:tc>
          <w:tcPr/>
          <w:p>
            <w:pPr>
              <w:pStyle w:val="Compact"/>
              <w:jc w:val="left"/>
            </w:pPr>
            <w:r>
              <w:t xml:space="preserve">Probability of Default (PD)</w:t>
            </w:r>
          </w:p>
        </w:tc>
        <w:tc>
          <w:tcPr/>
          <w:p>
            <w:pPr>
              <w:pStyle w:val="Compact"/>
              <w:jc w:val="left"/>
            </w:pPr>
            <w:r>
              <w:t xml:space="preserve">Internal models, rating agencies</w:t>
            </w:r>
          </w:p>
        </w:tc>
        <w:tc>
          <w:tcPr/>
          <w:p>
            <w:pPr>
              <w:pStyle w:val="Compact"/>
              <w:jc w:val="left"/>
            </w:pPr>
            <w:r>
              <w:t xml:space="preserve">Point-in-time or through-the-cycle, forward-looking</w:t>
            </w:r>
          </w:p>
        </w:tc>
      </w:tr>
      <w:tr>
        <w:tc>
          <w:tcPr/>
          <w:p>
            <w:pPr>
              <w:pStyle w:val="Compact"/>
              <w:jc w:val="left"/>
            </w:pPr>
            <w:r>
              <w:t xml:space="preserve">Loss Given Default (LGD)</w:t>
            </w:r>
          </w:p>
        </w:tc>
        <w:tc>
          <w:tcPr/>
          <w:p>
            <w:pPr>
              <w:pStyle w:val="Compact"/>
              <w:jc w:val="left"/>
            </w:pPr>
            <w:r>
              <w:t xml:space="preserve">Historical recovery, collateral</w:t>
            </w:r>
          </w:p>
        </w:tc>
        <w:tc>
          <w:tcPr/>
          <w:p>
            <w:pPr>
              <w:pStyle w:val="Compact"/>
              <w:jc w:val="left"/>
            </w:pPr>
            <w:r>
              <w:t xml:space="preserve">Workout LGD or market LGD</w:t>
            </w:r>
          </w:p>
        </w:tc>
      </w:tr>
      <w:tr>
        <w:tc>
          <w:tcPr/>
          <w:p>
            <w:pPr>
              <w:pStyle w:val="Compact"/>
              <w:jc w:val="left"/>
            </w:pPr>
            <w:r>
              <w:t xml:space="preserve">Exposure at Default (EAD)</w:t>
            </w:r>
          </w:p>
        </w:tc>
        <w:tc>
          <w:tcPr/>
          <w:p>
            <w:pPr>
              <w:pStyle w:val="Compact"/>
              <w:jc w:val="left"/>
            </w:pPr>
            <w:r>
              <w:t xml:space="preserve">Amortized cost, expected drawdowns</w:t>
            </w:r>
          </w:p>
        </w:tc>
        <w:tc>
          <w:tcPr/>
          <w:p>
            <w:pPr>
              <w:pStyle w:val="Compact"/>
              <w:jc w:val="left"/>
            </w:pPr>
            <w:r>
              <w:t xml:space="preserve">Current exposure + expected changes</w:t>
            </w:r>
          </w:p>
        </w:tc>
      </w:tr>
      <w:tr>
        <w:tc>
          <w:tcPr/>
          <w:p>
            <w:pPr>
              <w:pStyle w:val="Compact"/>
              <w:jc w:val="left"/>
            </w:pPr>
            <w:r>
              <w:t xml:space="preserve">Discount rate</w:t>
            </w:r>
          </w:p>
        </w:tc>
        <w:tc>
          <w:tcPr/>
          <w:p>
            <w:pPr>
              <w:pStyle w:val="Compact"/>
              <w:jc w:val="left"/>
            </w:pPr>
            <w:r>
              <w:t xml:space="preserve">Effective interest rate</w:t>
            </w:r>
          </w:p>
        </w:tc>
        <w:tc>
          <w:tcPr/>
          <w:p>
            <w:pPr>
              <w:pStyle w:val="Compact"/>
              <w:jc w:val="left"/>
            </w:pPr>
            <w:r>
              <w:t xml:space="preserve">Original EIR or approximation</w:t>
            </w:r>
          </w:p>
        </w:tc>
      </w:tr>
    </w:tbl>
    <w:p>
      <w:pPr>
        <w:pStyle w:val="a0"/>
      </w:pPr>
      <w:r>
        <w:rPr>
          <w:b/>
          <w:bCs/>
        </w:rPr>
        <w:t xml:space="preserve">Macroeconomic integration</w:t>
      </w:r>
      <w:r>
        <w:t xml:space="preserve">: Thai GDP growth, unemployment, industry-specific indicators forward-looking through</w:t>
      </w:r>
      <w:r>
        <w:t xml:space="preserve"> </w:t>
      </w:r>
      <w:r>
        <w:rPr>
          <w:b/>
          <w:bCs/>
        </w:rPr>
        <w:t xml:space="preserve">reasonable and supportable</w:t>
      </w:r>
      <w:r>
        <w:t xml:space="preserve"> </w:t>
      </w:r>
      <w:r>
        <w:t xml:space="preserve">forecast period.</w:t>
      </w:r>
    </w:p>
    <w:bookmarkEnd w:id="62"/>
    <w:bookmarkStart w:id="63" w:name="Xa2583e3a7c478975f200e5ffe6cd3b7fbfbbe35"/>
    <w:p>
      <w:pPr>
        <w:pStyle w:val="4"/>
      </w:pPr>
      <w:r>
        <w:t xml:space="preserve">3.3.4 Repo Accounting Treatment (Securities Remain on Borrower’s Balance Sheet)</w:t>
      </w:r>
    </w:p>
    <w:p>
      <w:pPr>
        <w:pStyle w:val="FirstParagraph"/>
      </w:pPr>
      <w:r>
        <w:rPr>
          <w:b/>
          <w:bCs/>
        </w:rPr>
        <w:t xml:space="preserve">Fundamental principle</w:t>
      </w:r>
      <w:r>
        <w:t xml:space="preserve">: Economic substance as</w:t>
      </w:r>
      <w:r>
        <w:t xml:space="preserve"> </w:t>
      </w:r>
      <w:r>
        <w:rPr>
          <w:b/>
          <w:bCs/>
        </w:rPr>
        <w:t xml:space="preserve">secured financing</w:t>
      </w:r>
      <w:r>
        <w:t xml:space="preserve">, not sale.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Party</w:t>
            </w:r>
          </w:p>
        </w:tc>
        <w:tc>
          <w:tcPr/>
          <w:p>
            <w:pPr>
              <w:pStyle w:val="Compact"/>
              <w:jc w:val="left"/>
            </w:pPr>
            <w:r>
              <w:rPr>
                <w:b/>
                <w:bCs/>
              </w:rPr>
              <w:t xml:space="preserve">Accounting Treatment</w:t>
            </w:r>
          </w:p>
        </w:tc>
      </w:tr>
      <w:tr>
        <w:tc>
          <w:tcPr/>
          <w:p>
            <w:pPr>
              <w:pStyle w:val="Compact"/>
              <w:jc w:val="left"/>
            </w:pPr>
            <w:r>
              <w:rPr>
                <w:b/>
                <w:bCs/>
              </w:rPr>
              <w:t xml:space="preserve">Cash borrower (repo seller)</w:t>
            </w:r>
          </w:p>
        </w:tc>
        <w:tc>
          <w:tcPr/>
          <w:p>
            <w:pPr>
              <w:pStyle w:val="Compact"/>
              <w:jc w:val="left"/>
            </w:pPr>
            <w:r>
              <w:t xml:space="preserve">Securities remain assets; recognize cash liability; accrue repo interest expense</w:t>
            </w:r>
          </w:p>
        </w:tc>
      </w:tr>
      <w:tr>
        <w:tc>
          <w:tcPr/>
          <w:p>
            <w:pPr>
              <w:pStyle w:val="Compact"/>
              <w:jc w:val="left"/>
            </w:pPr>
            <w:r>
              <w:rPr>
                <w:b/>
                <w:bCs/>
              </w:rPr>
              <w:t xml:space="preserve">Cash lender (reverse repo buyer)</w:t>
            </w:r>
          </w:p>
        </w:tc>
        <w:tc>
          <w:tcPr/>
          <w:p>
            <w:pPr>
              <w:pStyle w:val="Compact"/>
              <w:jc w:val="left"/>
            </w:pPr>
            <w:r>
              <w:t xml:space="preserve">Cash derecognized; recognize receivable; do not recognize collateral securities (unless rehypothecation criteria met)</w:t>
            </w:r>
          </w:p>
        </w:tc>
      </w:tr>
    </w:tbl>
    <w:bookmarkEnd w:id="63"/>
    <w:bookmarkStart w:id="64" w:name="Xf813d8bcc4343056f918f2789879cd2c6df7fb4"/>
    <w:p>
      <w:pPr>
        <w:pStyle w:val="4"/>
      </w:pPr>
      <w:r>
        <w:t xml:space="preserve">3.3.5 Accrued Interest and Repo Fee Recognition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Instrument Type</w:t>
            </w:r>
          </w:p>
        </w:tc>
        <w:tc>
          <w:tcPr/>
          <w:p>
            <w:pPr>
              <w:pStyle w:val="Compact"/>
              <w:jc w:val="left"/>
            </w:pPr>
            <w:r>
              <w:rPr>
                <w:b/>
                <w:bCs/>
              </w:rPr>
              <w:t xml:space="preserve">Accrual Basis</w:t>
            </w:r>
          </w:p>
        </w:tc>
        <w:tc>
          <w:tcPr/>
          <w:p>
            <w:pPr>
              <w:pStyle w:val="Compact"/>
              <w:jc w:val="left"/>
            </w:pPr>
            <w:r>
              <w:rPr>
                <w:b/>
                <w:bCs/>
              </w:rPr>
              <w:t xml:space="preserve">Day Count</w:t>
            </w:r>
          </w:p>
        </w:tc>
        <w:tc>
          <w:tcPr/>
          <w:p>
            <w:pPr>
              <w:pStyle w:val="Compact"/>
              <w:jc w:val="left"/>
            </w:pPr>
            <w:r>
              <w:rPr>
                <w:b/>
                <w:bCs/>
              </w:rPr>
              <w:t xml:space="preserve">Recognition</w:t>
            </w:r>
          </w:p>
        </w:tc>
      </w:tr>
      <w:tr>
        <w:tc>
          <w:tcPr/>
          <w:p>
            <w:pPr>
              <w:pStyle w:val="Compact"/>
              <w:jc w:val="left"/>
            </w:pPr>
            <w:r>
              <w:t xml:space="preserve">Fixed-rate bonds</w:t>
            </w:r>
          </w:p>
        </w:tc>
        <w:tc>
          <w:tcPr/>
          <w:p>
            <w:pPr>
              <w:pStyle w:val="Compact"/>
              <w:jc w:val="left"/>
            </w:pPr>
            <w:r>
              <w:t xml:space="preserve">Time-proportion</w:t>
            </w:r>
          </w:p>
        </w:tc>
        <w:tc>
          <w:tcPr/>
          <w:p>
            <w:pPr>
              <w:pStyle w:val="Compact"/>
              <w:jc w:val="left"/>
            </w:pPr>
            <w:r>
              <w:t xml:space="preserve">Actual/365 or Actual/Actual</w:t>
            </w:r>
          </w:p>
        </w:tc>
        <w:tc>
          <w:tcPr/>
          <w:p>
            <w:pPr>
              <w:pStyle w:val="Compact"/>
              <w:jc w:val="left"/>
            </w:pPr>
            <w:r>
              <w:t xml:space="preserve">Effective interest method</w:t>
            </w:r>
          </w:p>
        </w:tc>
      </w:tr>
      <w:tr>
        <w:tc>
          <w:tcPr/>
          <w:p>
            <w:pPr>
              <w:pStyle w:val="Compact"/>
              <w:jc w:val="left"/>
            </w:pPr>
            <w:r>
              <w:t xml:space="preserve">Floating-rate bonds</w:t>
            </w:r>
          </w:p>
        </w:tc>
        <w:tc>
          <w:tcPr/>
          <w:p>
            <w:pPr>
              <w:pStyle w:val="Compact"/>
              <w:jc w:val="left"/>
            </w:pPr>
            <w:r>
              <w:t xml:space="preserve">From reset date</w:t>
            </w:r>
          </w:p>
        </w:tc>
        <w:tc>
          <w:tcPr/>
          <w:p>
            <w:pPr>
              <w:pStyle w:val="Compact"/>
              <w:jc w:val="left"/>
            </w:pPr>
            <w:r>
              <w:t xml:space="preserve">Actual/365</w:t>
            </w:r>
          </w:p>
        </w:tc>
        <w:tc>
          <w:tcPr/>
          <w:p>
            <w:pPr>
              <w:pStyle w:val="Compact"/>
              <w:jc w:val="left"/>
            </w:pPr>
            <w:r>
              <w:t xml:space="preserve">Contractual rate + margin</w:t>
            </w:r>
          </w:p>
        </w:tc>
      </w:tr>
      <w:tr>
        <w:tc>
          <w:tcPr/>
          <w:p>
            <w:pPr>
              <w:pStyle w:val="Compact"/>
              <w:jc w:val="left"/>
            </w:pPr>
            <w:r>
              <w:t xml:space="preserve">T-Bills (discount)</w:t>
            </w:r>
          </w:p>
        </w:tc>
        <w:tc>
          <w:tcPr/>
          <w:p>
            <w:pPr>
              <w:pStyle w:val="Compact"/>
              <w:jc w:val="left"/>
            </w:pPr>
            <w:r>
              <w:t xml:space="preserve">Accretion</w:t>
            </w:r>
          </w:p>
        </w:tc>
        <w:tc>
          <w:tcPr/>
          <w:p>
            <w:pPr>
              <w:pStyle w:val="Compact"/>
              <w:jc w:val="left"/>
            </w:pPr>
            <w:r>
              <w:t xml:space="preserve">Actual/365</w:t>
            </w:r>
          </w:p>
        </w:tc>
        <w:tc>
          <w:tcPr/>
          <w:p>
            <w:pPr>
              <w:pStyle w:val="Compact"/>
              <w:jc w:val="left"/>
            </w:pPr>
            <w:r>
              <w:t xml:space="preserve">Yield to maturity</w:t>
            </w:r>
          </w:p>
        </w:tc>
      </w:tr>
      <w:tr>
        <w:tc>
          <w:tcPr/>
          <w:p>
            <w:pPr>
              <w:pStyle w:val="Compact"/>
              <w:jc w:val="left"/>
            </w:pPr>
            <w:r>
              <w:t xml:space="preserve">Repos</w:t>
            </w:r>
          </w:p>
        </w:tc>
        <w:tc>
          <w:tcPr/>
          <w:p>
            <w:pPr>
              <w:pStyle w:val="Compact"/>
              <w:jc w:val="left"/>
            </w:pPr>
            <w:r>
              <w:t xml:space="preserve">From value date</w:t>
            </w:r>
          </w:p>
        </w:tc>
        <w:tc>
          <w:tcPr/>
          <w:p>
            <w:pPr>
              <w:pStyle w:val="Compact"/>
              <w:jc w:val="left"/>
            </w:pPr>
            <w:r>
              <w:t xml:space="preserve">Actual/365</w:t>
            </w:r>
          </w:p>
        </w:tc>
        <w:tc>
          <w:tcPr/>
          <w:p>
            <w:pPr>
              <w:pStyle w:val="Compact"/>
              <w:jc w:val="left"/>
            </w:pPr>
            <w:r>
              <w:t xml:space="preserve">Repo rate on cash amount</w:t>
            </w:r>
          </w:p>
        </w:tc>
      </w:tr>
      <w:tr>
        <w:tc>
          <w:tcPr/>
          <w:p>
            <w:pPr>
              <w:pStyle w:val="Compact"/>
              <w:jc w:val="left"/>
            </w:pPr>
            <w:r>
              <w:t xml:space="preserve">Reverse repos</w:t>
            </w:r>
          </w:p>
        </w:tc>
        <w:tc>
          <w:tcPr/>
          <w:p>
            <w:pPr>
              <w:pStyle w:val="Compact"/>
              <w:jc w:val="left"/>
            </w:pPr>
            <w:r>
              <w:t xml:space="preserve">From value date</w:t>
            </w:r>
          </w:p>
        </w:tc>
        <w:tc>
          <w:tcPr/>
          <w:p>
            <w:pPr>
              <w:pStyle w:val="Compact"/>
              <w:jc w:val="left"/>
            </w:pPr>
            <w:r>
              <w:t xml:space="preserve">Actual/365</w:t>
            </w:r>
          </w:p>
        </w:tc>
        <w:tc>
          <w:tcPr/>
          <w:p>
            <w:pPr>
              <w:pStyle w:val="Compact"/>
              <w:jc w:val="left"/>
            </w:pPr>
            <w:r>
              <w:t xml:space="preserve">Repo rate on cash advanced</w:t>
            </w:r>
          </w:p>
        </w:tc>
      </w:tr>
    </w:tbl>
    <w:bookmarkEnd w:id="64"/>
    <w:bookmarkStart w:id="65" w:name="X80bd8968d7f508c707811b8c412ee46c7364f6c"/>
    <w:p>
      <w:pPr>
        <w:pStyle w:val="4"/>
      </w:pPr>
      <w:r>
        <w:t xml:space="preserve">3.3.6 Mark-to-Market Valuation and ThaiBMA Price Integration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Valuation Hierarchy</w:t>
            </w:r>
          </w:p>
        </w:tc>
        <w:tc>
          <w:tcPr/>
          <w:p>
            <w:pPr>
              <w:pStyle w:val="Compact"/>
              <w:jc w:val="left"/>
            </w:pPr>
            <w:r>
              <w:rPr>
                <w:b/>
                <w:bCs/>
              </w:rPr>
              <w:t xml:space="preserve">Input Type</w:t>
            </w:r>
          </w:p>
        </w:tc>
        <w:tc>
          <w:tcPr/>
          <w:p>
            <w:pPr>
              <w:pStyle w:val="Compact"/>
              <w:jc w:val="left"/>
            </w:pPr>
            <w:r>
              <w:rPr>
                <w:b/>
                <w:bCs/>
              </w:rPr>
              <w:t xml:space="preserve">Thai Market Application</w:t>
            </w:r>
          </w:p>
        </w:tc>
      </w:tr>
      <w:tr>
        <w:tc>
          <w:tcPr/>
          <w:p>
            <w:pPr>
              <w:pStyle w:val="Compact"/>
              <w:jc w:val="left"/>
            </w:pPr>
            <w:r>
              <w:t xml:space="preserve">Level 1</w:t>
            </w:r>
          </w:p>
        </w:tc>
        <w:tc>
          <w:tcPr/>
          <w:p>
            <w:pPr>
              <w:pStyle w:val="Compact"/>
              <w:jc w:val="left"/>
            </w:pPr>
            <w:r>
              <w:t xml:space="preserve">Quoted prices in active markets</w:t>
            </w:r>
          </w:p>
        </w:tc>
        <w:tc>
          <w:tcPr/>
          <w:p>
            <w:pPr>
              <w:pStyle w:val="Compact"/>
              <w:jc w:val="left"/>
            </w:pPr>
            <w:r>
              <w:t xml:space="preserve">ThaiBMA reference prices for liquid government bonds</w:t>
            </w:r>
          </w:p>
        </w:tc>
      </w:tr>
      <w:tr>
        <w:tc>
          <w:tcPr/>
          <w:p>
            <w:pPr>
              <w:pStyle w:val="Compact"/>
              <w:jc w:val="left"/>
            </w:pPr>
            <w:r>
              <w:t xml:space="preserve">Level 2</w:t>
            </w:r>
          </w:p>
        </w:tc>
        <w:tc>
          <w:tcPr/>
          <w:p>
            <w:pPr>
              <w:pStyle w:val="Compact"/>
              <w:jc w:val="left"/>
            </w:pPr>
            <w:r>
              <w:t xml:space="preserve">Observable inputs, direct or indirect</w:t>
            </w:r>
          </w:p>
        </w:tc>
        <w:tc>
          <w:tcPr/>
          <w:p>
            <w:pPr>
              <w:pStyle w:val="Compact"/>
              <w:jc w:val="left"/>
            </w:pPr>
            <w:r>
              <w:t xml:space="preserve">Matrix pricing for corporate bonds, dealer quotes</w:t>
            </w:r>
          </w:p>
        </w:tc>
      </w:tr>
      <w:tr>
        <w:tc>
          <w:tcPr/>
          <w:p>
            <w:pPr>
              <w:pStyle w:val="Compact"/>
              <w:jc w:val="left"/>
            </w:pPr>
            <w:r>
              <w:t xml:space="preserve">Level 3</w:t>
            </w:r>
          </w:p>
        </w:tc>
        <w:tc>
          <w:tcPr/>
          <w:p>
            <w:pPr>
              <w:pStyle w:val="Compact"/>
              <w:jc w:val="left"/>
            </w:pPr>
            <w:r>
              <w:t xml:space="preserve">Unobservable inputs</w:t>
            </w:r>
          </w:p>
        </w:tc>
        <w:tc>
          <w:tcPr/>
          <w:p>
            <w:pPr>
              <w:pStyle w:val="Compact"/>
              <w:jc w:val="left"/>
            </w:pPr>
            <w:r>
              <w:t xml:space="preserve">Internal models for illiquid positions, significant adjustments</w:t>
            </w:r>
          </w:p>
        </w:tc>
      </w:tr>
    </w:tbl>
    <w:p>
      <w:pPr>
        <w:pStyle w:val="a0"/>
      </w:pPr>
      <w:r>
        <w:rPr>
          <w:b/>
          <w:bCs/>
        </w:rPr>
        <w:t xml:space="preserve">ThaiBMA price integration</w:t>
      </w:r>
      <w:r>
        <w:t xml:space="preserve">: Automated daily retrieval, validation against movement thresholds (e.g., ±5% from previous day triggers review), fallback to alternative sources if unavailable.</w:t>
      </w:r>
    </w:p>
    <w:bookmarkEnd w:id="65"/>
    <w:bookmarkStart w:id="66" w:name="Xa78f9c6aea31f4daf361f8006dd847b4f6a1082"/>
    <w:p>
      <w:pPr>
        <w:pStyle w:val="4"/>
      </w:pPr>
      <w:r>
        <w:t xml:space="preserve">3.3.7 Journal Entry Generation and General Ledger Posting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Transaction/Event</w:t>
            </w:r>
          </w:p>
        </w:tc>
        <w:tc>
          <w:tcPr/>
          <w:p>
            <w:pPr>
              <w:pStyle w:val="Compact"/>
              <w:jc w:val="left"/>
            </w:pPr>
            <w:r>
              <w:rPr>
                <w:b/>
                <w:bCs/>
              </w:rPr>
              <w:t xml:space="preserve">Entry Type</w:t>
            </w:r>
          </w:p>
        </w:tc>
        <w:tc>
          <w:tcPr/>
          <w:p>
            <w:pPr>
              <w:pStyle w:val="Compact"/>
              <w:jc w:val="left"/>
            </w:pPr>
            <w:r>
              <w:rPr>
                <w:b/>
                <w:bCs/>
              </w:rPr>
              <w:t xml:space="preserve">Key Accounts</w:t>
            </w:r>
          </w:p>
        </w:tc>
      </w:tr>
      <w:tr>
        <w:tc>
          <w:tcPr/>
          <w:p>
            <w:pPr>
              <w:pStyle w:val="Compact"/>
              <w:jc w:val="left"/>
            </w:pPr>
            <w:r>
              <w:t xml:space="preserve">Bond purchase (amortized cost)</w:t>
            </w:r>
          </w:p>
        </w:tc>
        <w:tc>
          <w:tcPr/>
          <w:p>
            <w:pPr>
              <w:pStyle w:val="Compact"/>
              <w:jc w:val="left"/>
            </w:pPr>
            <w:r>
              <w:t xml:space="preserve">Trade date</w:t>
            </w:r>
          </w:p>
        </w:tc>
        <w:tc>
          <w:tcPr/>
          <w:p>
            <w:pPr>
              <w:pStyle w:val="Compact"/>
              <w:jc w:val="left"/>
            </w:pPr>
            <w:r>
              <w:t xml:space="preserve">Dr Investment, Cr Payable</w:t>
            </w:r>
          </w:p>
        </w:tc>
      </w:tr>
      <w:tr>
        <w:tc>
          <w:tcPr/>
          <w:p>
            <w:pPr>
              <w:pStyle w:val="Compact"/>
              <w:jc w:val="left"/>
            </w:pPr>
            <w:r>
              <w:t xml:space="preserve">Bond purchase settlement</w:t>
            </w:r>
          </w:p>
        </w:tc>
        <w:tc>
          <w:tcPr/>
          <w:p>
            <w:pPr>
              <w:pStyle w:val="Compact"/>
              <w:jc w:val="left"/>
            </w:pPr>
            <w:r>
              <w:t xml:space="preserve">Settlement date</w:t>
            </w:r>
          </w:p>
        </w:tc>
        <w:tc>
          <w:tcPr/>
          <w:p>
            <w:pPr>
              <w:pStyle w:val="Compact"/>
              <w:jc w:val="left"/>
            </w:pPr>
            <w:r>
              <w:t xml:space="preserve">Dr Payable, Cr Cash</w:t>
            </w:r>
          </w:p>
        </w:tc>
      </w:tr>
      <w:tr>
        <w:tc>
          <w:tcPr/>
          <w:p>
            <w:pPr>
              <w:pStyle w:val="Compact"/>
              <w:jc w:val="left"/>
            </w:pPr>
            <w:r>
              <w:t xml:space="preserve">Interest accrual</w:t>
            </w:r>
          </w:p>
        </w:tc>
        <w:tc>
          <w:tcPr/>
          <w:p>
            <w:pPr>
              <w:pStyle w:val="Compact"/>
              <w:jc w:val="left"/>
            </w:pPr>
            <w:r>
              <w:t xml:space="preserve">Periodic</w:t>
            </w:r>
          </w:p>
        </w:tc>
        <w:tc>
          <w:tcPr/>
          <w:p>
            <w:pPr>
              <w:pStyle w:val="Compact"/>
              <w:jc w:val="left"/>
            </w:pPr>
            <w:r>
              <w:t xml:space="preserve">Dr Accrued interest receivable, Cr Interest income</w:t>
            </w:r>
          </w:p>
        </w:tc>
      </w:tr>
      <w:tr>
        <w:tc>
          <w:tcPr/>
          <w:p>
            <w:pPr>
              <w:pStyle w:val="Compact"/>
              <w:jc w:val="left"/>
            </w:pPr>
            <w:r>
              <w:t xml:space="preserve">Coupon receipt</w:t>
            </w:r>
          </w:p>
        </w:tc>
        <w:tc>
          <w:tcPr/>
          <w:p>
            <w:pPr>
              <w:pStyle w:val="Compact"/>
              <w:jc w:val="left"/>
            </w:pPr>
            <w:r>
              <w:t xml:space="preserve">Cash flow</w:t>
            </w:r>
          </w:p>
        </w:tc>
        <w:tc>
          <w:tcPr/>
          <w:p>
            <w:pPr>
              <w:pStyle w:val="Compact"/>
              <w:jc w:val="left"/>
            </w:pPr>
            <w:r>
              <w:t xml:space="preserve">Dr Cash, Cr Accrued interest receivable</w:t>
            </w:r>
          </w:p>
        </w:tc>
      </w:tr>
      <w:tr>
        <w:tc>
          <w:tcPr/>
          <w:p>
            <w:pPr>
              <w:pStyle w:val="Compact"/>
              <w:jc w:val="left"/>
            </w:pPr>
            <w:r>
              <w:t xml:space="preserve">FVOCI fair value change</w:t>
            </w:r>
          </w:p>
        </w:tc>
        <w:tc>
          <w:tcPr/>
          <w:p>
            <w:pPr>
              <w:pStyle w:val="Compact"/>
              <w:jc w:val="left"/>
            </w:pPr>
            <w:r>
              <w:t xml:space="preserve">Period-end</w:t>
            </w:r>
          </w:p>
        </w:tc>
        <w:tc>
          <w:tcPr/>
          <w:p>
            <w:pPr>
              <w:pStyle w:val="Compact"/>
              <w:jc w:val="left"/>
            </w:pPr>
            <w:r>
              <w:t xml:space="preserve">Dr/Cr FVOCI reserve (OCI), Cr/Dr Investment</w:t>
            </w:r>
          </w:p>
        </w:tc>
      </w:tr>
      <w:tr>
        <w:tc>
          <w:tcPr/>
          <w:p>
            <w:pPr>
              <w:pStyle w:val="Compact"/>
              <w:jc w:val="left"/>
            </w:pPr>
            <w:r>
              <w:t xml:space="preserve">FVOCI sale</w:t>
            </w:r>
          </w:p>
        </w:tc>
        <w:tc>
          <w:tcPr/>
          <w:p>
            <w:pPr>
              <w:pStyle w:val="Compact"/>
              <w:jc w:val="left"/>
            </w:pPr>
            <w:r>
              <w:t xml:space="preserve">Derecognition</w:t>
            </w:r>
          </w:p>
        </w:tc>
        <w:tc>
          <w:tcPr/>
          <w:p>
            <w:pPr>
              <w:pStyle w:val="Compact"/>
              <w:jc w:val="left"/>
            </w:pPr>
            <w:r>
              <w:t xml:space="preserve">Dr Cash, Cr Investment; recycle FVOCI to P&amp;L</w:t>
            </w:r>
          </w:p>
        </w:tc>
      </w:tr>
      <w:tr>
        <w:tc>
          <w:tcPr/>
          <w:p>
            <w:pPr>
              <w:pStyle w:val="Compact"/>
              <w:jc w:val="left"/>
            </w:pPr>
            <w:r>
              <w:t xml:space="preserve">Repo initiation</w:t>
            </w:r>
          </w:p>
        </w:tc>
        <w:tc>
          <w:tcPr/>
          <w:p>
            <w:pPr>
              <w:pStyle w:val="Compact"/>
              <w:jc w:val="left"/>
            </w:pPr>
            <w:r>
              <w:t xml:space="preserve">Trade date</w:t>
            </w:r>
          </w:p>
        </w:tc>
        <w:tc>
          <w:tcPr/>
          <w:p>
            <w:pPr>
              <w:pStyle w:val="Compact"/>
              <w:jc w:val="left"/>
            </w:pPr>
            <w:r>
              <w:t xml:space="preserve">Dr Cash, Cr Repo payable; securities remain</w:t>
            </w:r>
          </w:p>
        </w:tc>
      </w:tr>
      <w:tr>
        <w:tc>
          <w:tcPr/>
          <w:p>
            <w:pPr>
              <w:pStyle w:val="Compact"/>
              <w:jc w:val="left"/>
            </w:pPr>
            <w:r>
              <w:t xml:space="preserve">Repo interest accrual</w:t>
            </w:r>
          </w:p>
        </w:tc>
        <w:tc>
          <w:tcPr/>
          <w:p>
            <w:pPr>
              <w:pStyle w:val="Compact"/>
              <w:jc w:val="left"/>
            </w:pPr>
            <w:r>
              <w:t xml:space="preserve">Periodic</w:t>
            </w:r>
          </w:p>
        </w:tc>
        <w:tc>
          <w:tcPr/>
          <w:p>
            <w:pPr>
              <w:pStyle w:val="Compact"/>
              <w:jc w:val="left"/>
            </w:pPr>
            <w:r>
              <w:t xml:space="preserve">Dr Repo interest expense, Cr Accrued repo payable</w:t>
            </w:r>
          </w:p>
        </w:tc>
      </w:tr>
    </w:tbl>
    <w:bookmarkEnd w:id="66"/>
    <w:bookmarkEnd w:id="67"/>
    <w:bookmarkStart w:id="77" w:name="reporting-module"/>
    <w:p>
      <w:pPr>
        <w:pStyle w:val="3"/>
      </w:pPr>
      <w:r>
        <w:t xml:space="preserve">3.4 Reporting Module</w:t>
      </w:r>
    </w:p>
    <w:bookmarkStart w:id="71" w:name="regulatory-reporting"/>
    <w:p>
      <w:pPr>
        <w:pStyle w:val="4"/>
      </w:pPr>
      <w:r>
        <w:t xml:space="preserve">3.4.1 Regulatory Reporting</w:t>
      </w:r>
    </w:p>
    <w:bookmarkStart w:id="68" w:name="thaibma-transaction-and-position-reports"/>
    <w:p>
      <w:pPr>
        <w:pStyle w:val="5"/>
      </w:pPr>
      <w:r>
        <w:t xml:space="preserve">3.4.1.1 ThaiBMA Transaction and Position Reports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Report Type</w:t>
            </w:r>
          </w:p>
        </w:tc>
        <w:tc>
          <w:tcPr/>
          <w:p>
            <w:pPr>
              <w:pStyle w:val="Compact"/>
              <w:jc w:val="left"/>
            </w:pPr>
            <w:r>
              <w:rPr>
                <w:b/>
                <w:bCs/>
              </w:rPr>
              <w:t xml:space="preserve">Frequency</w:t>
            </w:r>
          </w:p>
        </w:tc>
        <w:tc>
          <w:tcPr/>
          <w:p>
            <w:pPr>
              <w:pStyle w:val="Compact"/>
              <w:jc w:val="left"/>
            </w:pPr>
            <w:r>
              <w:rPr>
                <w:b/>
                <w:bCs/>
              </w:rPr>
              <w:t xml:space="preserve">Content</w:t>
            </w:r>
          </w:p>
        </w:tc>
        <w:tc>
          <w:tcPr/>
          <w:p>
            <w:pPr>
              <w:pStyle w:val="Compact"/>
              <w:jc w:val="left"/>
            </w:pPr>
            <w:r>
              <w:rPr>
                <w:b/>
                <w:bCs/>
              </w:rPr>
              <w:t xml:space="preserve">Format</w:t>
            </w:r>
          </w:p>
        </w:tc>
      </w:tr>
      <w:tr>
        <w:tc>
          <w:tcPr/>
          <w:p>
            <w:pPr>
              <w:pStyle w:val="Compact"/>
              <w:jc w:val="left"/>
            </w:pPr>
            <w:r>
              <w:t xml:space="preserve">Transaction report</w:t>
            </w:r>
          </w:p>
        </w:tc>
        <w:tc>
          <w:tcPr/>
          <w:p>
            <w:pPr>
              <w:pStyle w:val="Compact"/>
              <w:jc w:val="left"/>
            </w:pPr>
            <w:r>
              <w:t xml:space="preserve">Real-time (30-min)</w:t>
            </w:r>
          </w:p>
        </w:tc>
        <w:tc>
          <w:tcPr/>
          <w:p>
            <w:pPr>
              <w:pStyle w:val="Compact"/>
              <w:jc w:val="left"/>
            </w:pPr>
            <w:r>
              <w:t xml:space="preserve">Trade details, price, volume, counterparty</w:t>
            </w:r>
          </w:p>
        </w:tc>
        <w:tc>
          <w:tcPr/>
          <w:p>
            <w:pPr>
              <w:pStyle w:val="Compact"/>
              <w:jc w:val="left"/>
            </w:pPr>
            <w:r>
              <w:t xml:space="preserve">ThaiBMA specified API</w:t>
            </w:r>
          </w:p>
        </w:tc>
      </w:tr>
      <w:tr>
        <w:tc>
          <w:tcPr/>
          <w:p>
            <w:pPr>
              <w:pStyle w:val="Compact"/>
              <w:jc w:val="left"/>
            </w:pPr>
            <w:r>
              <w:t xml:space="preserve">Position report</w:t>
            </w:r>
          </w:p>
        </w:tc>
        <w:tc>
          <w:tcPr/>
          <w:p>
            <w:pPr>
              <w:pStyle w:val="Compact"/>
              <w:jc w:val="left"/>
            </w:pPr>
            <w:r>
              <w:t xml:space="preserve">Daily/Periodic</w:t>
            </w:r>
          </w:p>
        </w:tc>
        <w:tc>
          <w:tcPr/>
          <w:p>
            <w:pPr>
              <w:pStyle w:val="Compact"/>
              <w:jc w:val="left"/>
            </w:pPr>
            <w:r>
              <w:t xml:space="preserve">Holdings by ISIN, maturity, rating</w:t>
            </w:r>
          </w:p>
        </w:tc>
        <w:tc>
          <w:tcPr/>
          <w:p>
            <w:pPr>
              <w:pStyle w:val="Compact"/>
              <w:jc w:val="left"/>
            </w:pPr>
            <w:r>
              <w:t xml:space="preserve">Aggregated, confidential</w:t>
            </w:r>
          </w:p>
        </w:tc>
      </w:tr>
      <w:tr>
        <w:tc>
          <w:tcPr/>
          <w:p>
            <w:pPr>
              <w:pStyle w:val="Compact"/>
              <w:jc w:val="left"/>
            </w:pPr>
            <w:r>
              <w:t xml:space="preserve">Market activity</w:t>
            </w:r>
          </w:p>
        </w:tc>
        <w:tc>
          <w:tcPr/>
          <w:p>
            <w:pPr>
              <w:pStyle w:val="Compact"/>
              <w:jc w:val="left"/>
            </w:pPr>
            <w:r>
              <w:t xml:space="preserve">As required</w:t>
            </w:r>
          </w:p>
        </w:tc>
        <w:tc>
          <w:tcPr/>
          <w:p>
            <w:pPr>
              <w:pStyle w:val="Compact"/>
              <w:jc w:val="left"/>
            </w:pPr>
            <w:r>
              <w:t xml:space="preserve">Turnover, market share analysis</w:t>
            </w:r>
          </w:p>
        </w:tc>
        <w:tc>
          <w:tcPr/>
          <w:p>
            <w:pPr>
              <w:pStyle w:val="Compact"/>
              <w:jc w:val="left"/>
            </w:pPr>
            <w:r>
              <w:t xml:space="preserve">Statistical</w:t>
            </w:r>
          </w:p>
        </w:tc>
      </w:tr>
    </w:tbl>
    <w:bookmarkEnd w:id="68"/>
    <w:bookmarkStart w:id="69" w:name="Xc1b9851269684c0d5883489e49f4d52181368e5"/>
    <w:p>
      <w:pPr>
        <w:pStyle w:val="5"/>
      </w:pPr>
      <w:r>
        <w:t xml:space="preserve">3.4.1.2 Bank of Thailand Liquidity and Statistical Returns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Return Type</w:t>
            </w:r>
          </w:p>
        </w:tc>
        <w:tc>
          <w:tcPr/>
          <w:p>
            <w:pPr>
              <w:pStyle w:val="Compact"/>
              <w:jc w:val="left"/>
            </w:pPr>
            <w:r>
              <w:rPr>
                <w:b/>
                <w:bCs/>
              </w:rPr>
              <w:t xml:space="preserve">Purpose</w:t>
            </w:r>
          </w:p>
        </w:tc>
        <w:tc>
          <w:tcPr/>
          <w:p>
            <w:pPr>
              <w:pStyle w:val="Compact"/>
              <w:jc w:val="left"/>
            </w:pPr>
            <w:r>
              <w:rPr>
                <w:b/>
                <w:bCs/>
              </w:rPr>
              <w:t xml:space="preserve">Key Data Elements</w:t>
            </w:r>
          </w:p>
        </w:tc>
      </w:tr>
      <w:tr>
        <w:tc>
          <w:tcPr/>
          <w:p>
            <w:pPr>
              <w:pStyle w:val="Compact"/>
              <w:jc w:val="left"/>
            </w:pPr>
            <w:r>
              <w:t xml:space="preserve">LCR calculation</w:t>
            </w:r>
          </w:p>
        </w:tc>
        <w:tc>
          <w:tcPr/>
          <w:p>
            <w:pPr>
              <w:pStyle w:val="Compact"/>
              <w:jc w:val="left"/>
            </w:pPr>
            <w:r>
              <w:t xml:space="preserve">Liquidity adequacy</w:t>
            </w:r>
          </w:p>
        </w:tc>
        <w:tc>
          <w:tcPr/>
          <w:p>
            <w:pPr>
              <w:pStyle w:val="Compact"/>
              <w:jc w:val="left"/>
            </w:pPr>
            <w:r>
              <w:t xml:space="preserve">HQLA classification, cash outflows, inflows</w:t>
            </w:r>
          </w:p>
        </w:tc>
      </w:tr>
      <w:tr>
        <w:tc>
          <w:tcPr/>
          <w:p>
            <w:pPr>
              <w:pStyle w:val="Compact"/>
              <w:jc w:val="left"/>
            </w:pPr>
            <w:r>
              <w:t xml:space="preserve">NSFR calculation</w:t>
            </w:r>
          </w:p>
        </w:tc>
        <w:tc>
          <w:tcPr/>
          <w:p>
            <w:pPr>
              <w:pStyle w:val="Compact"/>
              <w:jc w:val="left"/>
            </w:pPr>
            <w:r>
              <w:t xml:space="preserve">Structural funding stability</w:t>
            </w:r>
          </w:p>
        </w:tc>
        <w:tc>
          <w:tcPr/>
          <w:p>
            <w:pPr>
              <w:pStyle w:val="Compact"/>
              <w:jc w:val="left"/>
            </w:pPr>
            <w:r>
              <w:t xml:space="preserve">Available stable funding, required stable funding</w:t>
            </w:r>
          </w:p>
        </w:tc>
      </w:tr>
      <w:tr>
        <w:tc>
          <w:tcPr/>
          <w:p>
            <w:pPr>
              <w:pStyle w:val="Compact"/>
              <w:jc w:val="left"/>
            </w:pPr>
            <w:r>
              <w:t xml:space="preserve">Monetary policy operations</w:t>
            </w:r>
          </w:p>
        </w:tc>
        <w:tc>
          <w:tcPr/>
          <w:p>
            <w:pPr>
              <w:pStyle w:val="Compact"/>
              <w:jc w:val="left"/>
            </w:pPr>
            <w:r>
              <w:t xml:space="preserve">Central bank oversight</w:t>
            </w:r>
          </w:p>
        </w:tc>
        <w:tc>
          <w:tcPr/>
          <w:p>
            <w:pPr>
              <w:pStyle w:val="Compact"/>
              <w:jc w:val="left"/>
            </w:pPr>
            <w:r>
              <w:t xml:space="preserve">Repo participation, collateral usage, rates</w:t>
            </w:r>
          </w:p>
        </w:tc>
      </w:tr>
      <w:tr>
        <w:tc>
          <w:tcPr/>
          <w:p>
            <w:pPr>
              <w:pStyle w:val="Compact"/>
              <w:jc w:val="left"/>
            </w:pPr>
            <w:r>
              <w:t xml:space="preserve">Securities statistics</w:t>
            </w:r>
          </w:p>
        </w:tc>
        <w:tc>
          <w:tcPr/>
          <w:p>
            <w:pPr>
              <w:pStyle w:val="Compact"/>
              <w:jc w:val="left"/>
            </w:pPr>
            <w:r>
              <w:t xml:space="preserve">Market monitoring</w:t>
            </w:r>
          </w:p>
        </w:tc>
        <w:tc>
          <w:tcPr/>
          <w:p>
            <w:pPr>
              <w:pStyle w:val="Compact"/>
              <w:jc w:val="left"/>
            </w:pPr>
            <w:r>
              <w:t xml:space="preserve">Holdings by type, maturity, counterparty</w:t>
            </w:r>
          </w:p>
        </w:tc>
      </w:tr>
    </w:tbl>
    <w:p>
      <w:pPr>
        <w:pStyle w:val="a0"/>
      </w:pPr>
      <w:r>
        <w:rPr>
          <w:b/>
          <w:bCs/>
        </w:rPr>
        <w:t xml:space="preserve">HQLA classification</w:t>
      </w:r>
      <w:r>
        <w:t xml:space="preserve"> </w:t>
      </w:r>
      <w:r>
        <w:t xml:space="preserve">- |</w:t>
      </w:r>
      <w:r>
        <w:t xml:space="preserve"> </w:t>
      </w:r>
      <w:r>
        <w:rPr>
          <w:b/>
          <w:bCs/>
        </w:rPr>
        <w:t xml:space="preserve">Asset Class</w:t>
      </w:r>
      <w:r>
        <w:t xml:space="preserve"> </w:t>
      </w:r>
      <w:r>
        <w:t xml:space="preserve">|</w:t>
      </w:r>
      <w:r>
        <w:t xml:space="preserve"> </w:t>
      </w:r>
      <w:r>
        <w:rPr>
          <w:b/>
          <w:bCs/>
        </w:rPr>
        <w:t xml:space="preserve">LCR Level</w:t>
      </w:r>
      <w:r>
        <w:t xml:space="preserve"> </w:t>
      </w:r>
      <w:r>
        <w:t xml:space="preserve">|</w:t>
      </w:r>
      <w:r>
        <w:t xml:space="preserve"> </w:t>
      </w:r>
      <w:r>
        <w:rPr>
          <w:b/>
          <w:bCs/>
        </w:rPr>
        <w:t xml:space="preserve">Haircut</w:t>
      </w:r>
      <w:r>
        <w:t xml:space="preserve"> </w:t>
      </w:r>
      <w:r>
        <w:t xml:space="preserve">|</w:t>
      </w:r>
      <w:r>
        <w:t xml:space="preserve"> </w:t>
      </w:r>
      <w:r>
        <w:rPr>
          <w:b/>
          <w:bCs/>
        </w:rPr>
        <w:t xml:space="preserve">System Tracking</w:t>
      </w:r>
      <w:r>
        <w:t xml:space="preserve"> </w:t>
      </w:r>
      <w:r>
        <w:t xml:space="preserve">|</w:t>
      </w:r>
      <w:r>
        <w:t xml:space="preserve"> </w:t>
      </w:r>
      <w:r>
        <w:t xml:space="preserve">|:—|:—|:—|:—|</w:t>
      </w:r>
      <w:r>
        <w:t xml:space="preserve"> </w:t>
      </w:r>
      <w:r>
        <w:t xml:space="preserve">| Government bonds (THB) | Level 1 | 0% | Automatic eligibility |</w:t>
      </w:r>
      <w:r>
        <w:t xml:space="preserve"> </w:t>
      </w:r>
      <w:r>
        <w:t xml:space="preserve">| BOT bonds/bills (THB) | Level 1 | 0% | Automatic eligibility |</w:t>
      </w:r>
      <w:r>
        <w:t xml:space="preserve"> </w:t>
      </w:r>
      <w:r>
        <w:t xml:space="preserve">| SOE bonds (guaranteed, rated AA- or above) | Level 1 | 0% | Guarantee verification |</w:t>
      </w:r>
      <w:r>
        <w:t xml:space="preserve"> </w:t>
      </w:r>
      <w:r>
        <w:t xml:space="preserve">| Corporate bonds (rated AA- or above) | Level 2A | 15% | Rating monitoring, cap tracking |</w:t>
      </w:r>
    </w:p>
    <w:bookmarkEnd w:id="69"/>
    <w:bookmarkStart w:id="70" w:name="Xd1bdb7edca7208951a82b1da728ad336b189a08"/>
    <w:p>
      <w:pPr>
        <w:pStyle w:val="5"/>
      </w:pPr>
      <w:r>
        <w:t xml:space="preserve">3.4.1.3 SEC Disclosure Requirements for Corporate Bond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Trigger</w:t>
            </w:r>
          </w:p>
        </w:tc>
        <w:tc>
          <w:tcPr/>
          <w:p>
            <w:pPr>
              <w:pStyle w:val="Compact"/>
              <w:jc w:val="left"/>
            </w:pPr>
            <w:r>
              <w:rPr>
                <w:b/>
                <w:bCs/>
              </w:rPr>
              <w:t xml:space="preserve">Disclosure</w:t>
            </w:r>
          </w:p>
        </w:tc>
        <w:tc>
          <w:tcPr/>
          <w:p>
            <w:pPr>
              <w:pStyle w:val="Compact"/>
              <w:jc w:val="left"/>
            </w:pPr>
            <w:r>
              <w:rPr>
                <w:b/>
                <w:bCs/>
              </w:rPr>
              <w:t xml:space="preserve">Timeline</w:t>
            </w:r>
          </w:p>
        </w:tc>
        <w:tc>
          <w:tcPr/>
          <w:p>
            <w:pPr>
              <w:pStyle w:val="Compact"/>
              <w:jc w:val="left"/>
            </w:pPr>
            <w:r>
              <w:rPr>
                <w:b/>
                <w:bCs/>
              </w:rPr>
              <w:t xml:space="preserve">System Support</w:t>
            </w:r>
          </w:p>
        </w:tc>
      </w:tr>
      <w:tr>
        <w:tc>
          <w:tcPr/>
          <w:p>
            <w:pPr>
              <w:pStyle w:val="Compact"/>
              <w:jc w:val="left"/>
            </w:pPr>
            <w:r>
              <w:t xml:space="preserve">&gt;5% of class/series</w:t>
            </w:r>
          </w:p>
        </w:tc>
        <w:tc>
          <w:tcPr/>
          <w:p>
            <w:pPr>
              <w:pStyle w:val="Compact"/>
              <w:jc w:val="left"/>
            </w:pPr>
            <w:r>
              <w:t xml:space="preserve">Holding notification</w:t>
            </w:r>
          </w:p>
        </w:tc>
        <w:tc>
          <w:tcPr/>
          <w:p>
            <w:pPr>
              <w:pStyle w:val="Compact"/>
              <w:jc w:val="left"/>
            </w:pPr>
            <w:r>
              <w:t xml:space="preserve">Within specified period</w:t>
            </w:r>
          </w:p>
        </w:tc>
        <w:tc>
          <w:tcPr/>
          <w:p>
            <w:pPr>
              <w:pStyle w:val="Compact"/>
              <w:jc w:val="left"/>
            </w:pPr>
            <w:r>
              <w:t xml:space="preserve">Automated threshold monitoring</w:t>
            </w:r>
          </w:p>
        </w:tc>
      </w:tr>
      <w:tr>
        <w:tc>
          <w:tcPr/>
          <w:p>
            <w:pPr>
              <w:pStyle w:val="Compact"/>
              <w:jc w:val="left"/>
            </w:pPr>
            <w:r>
              <w:t xml:space="preserve">&gt;25% of issued amount</w:t>
            </w:r>
          </w:p>
        </w:tc>
        <w:tc>
          <w:tcPr/>
          <w:p>
            <w:pPr>
              <w:pStyle w:val="Compact"/>
              <w:jc w:val="left"/>
            </w:pPr>
            <w:r>
              <w:t xml:space="preserve">Significant holding</w:t>
            </w:r>
          </w:p>
        </w:tc>
        <w:tc>
          <w:tcPr/>
          <w:p>
            <w:pPr>
              <w:pStyle w:val="Compact"/>
              <w:jc w:val="left"/>
            </w:pPr>
            <w:r>
              <w:t xml:space="preserve">Immediate</w:t>
            </w:r>
          </w:p>
        </w:tc>
        <w:tc>
          <w:tcPr/>
          <w:p>
            <w:pPr>
              <w:pStyle w:val="Compact"/>
              <w:jc w:val="left"/>
            </w:pPr>
            <w:r>
              <w:t xml:space="preserve">Alert generation, form preparation</w:t>
            </w:r>
          </w:p>
        </w:tc>
      </w:tr>
      <w:tr>
        <w:tc>
          <w:tcPr/>
          <w:p>
            <w:pPr>
              <w:pStyle w:val="Compact"/>
              <w:jc w:val="left"/>
            </w:pPr>
            <w:r>
              <w:t xml:space="preserve">Related-party transaction</w:t>
            </w:r>
          </w:p>
        </w:tc>
        <w:tc>
          <w:tcPr/>
          <w:p>
            <w:pPr>
              <w:pStyle w:val="Compact"/>
              <w:jc w:val="left"/>
            </w:pPr>
            <w:r>
              <w:t xml:space="preserve">Enhanced disclosure</w:t>
            </w:r>
          </w:p>
        </w:tc>
        <w:tc>
          <w:tcPr/>
          <w:p>
            <w:pPr>
              <w:pStyle w:val="Compact"/>
              <w:jc w:val="left"/>
            </w:pPr>
            <w:r>
              <w:t xml:space="preserve">As required</w:t>
            </w:r>
          </w:p>
        </w:tc>
        <w:tc>
          <w:tcPr/>
          <w:p>
            <w:pPr>
              <w:pStyle w:val="Compact"/>
              <w:jc w:val="left"/>
            </w:pPr>
            <w:r>
              <w:t xml:space="preserve">Counterparty relationship flagging</w:t>
            </w:r>
          </w:p>
        </w:tc>
      </w:tr>
    </w:tbl>
    <w:bookmarkEnd w:id="70"/>
    <w:bookmarkEnd w:id="71"/>
    <w:bookmarkStart w:id="75" w:name="management-reporting"/>
    <w:p>
      <w:pPr>
        <w:pStyle w:val="4"/>
      </w:pPr>
      <w:r>
        <w:t xml:space="preserve">3.4.2 Management Reporting</w:t>
      </w:r>
    </w:p>
    <w:bookmarkStart w:id="72" w:name="X476781cfafa85b2f45ebd937ee45ad4f87a476c"/>
    <w:p>
      <w:pPr>
        <w:pStyle w:val="5"/>
      </w:pPr>
      <w:r>
        <w:t xml:space="preserve">3.4.2.1 Portfolio Valuation and Performance Attribution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Calculation</w:t>
            </w:r>
          </w:p>
        </w:tc>
        <w:tc>
          <w:tcPr/>
          <w:p>
            <w:pPr>
              <w:pStyle w:val="Compact"/>
              <w:jc w:val="left"/>
            </w:pPr>
            <w:r>
              <w:rPr>
                <w:b/>
                <w:bCs/>
              </w:rPr>
              <w:t xml:space="preserve">Use</w:t>
            </w:r>
          </w:p>
        </w:tc>
      </w:tr>
      <w:tr>
        <w:tc>
          <w:tcPr/>
          <w:p>
            <w:pPr>
              <w:pStyle w:val="Compact"/>
              <w:jc w:val="left"/>
            </w:pPr>
            <w:r>
              <w:t xml:space="preserve">Total return</w:t>
            </w:r>
          </w:p>
        </w:tc>
        <w:tc>
          <w:tcPr/>
          <w:p>
            <w:pPr>
              <w:pStyle w:val="Compact"/>
              <w:jc w:val="left"/>
            </w:pPr>
            <w:r>
              <w:t xml:space="preserve">Income + price change + FX (N/A for THB)</w:t>
            </w:r>
          </w:p>
        </w:tc>
        <w:tc>
          <w:tcPr/>
          <w:p>
            <w:pPr>
              <w:pStyle w:val="Compact"/>
              <w:jc w:val="left"/>
            </w:pPr>
            <w:r>
              <w:t xml:space="preserve">Overall performance</w:t>
            </w:r>
          </w:p>
        </w:tc>
      </w:tr>
      <w:tr>
        <w:tc>
          <w:tcPr/>
          <w:p>
            <w:pPr>
              <w:pStyle w:val="Compact"/>
              <w:jc w:val="left"/>
            </w:pPr>
            <w:r>
              <w:t xml:space="preserve">Excess return vs. benchmark</w:t>
            </w:r>
          </w:p>
        </w:tc>
        <w:tc>
          <w:tcPr/>
          <w:p>
            <w:pPr>
              <w:pStyle w:val="Compact"/>
              <w:jc w:val="left"/>
            </w:pPr>
            <w:r>
              <w:t xml:space="preserve">Portfolio return − benchmark return</w:t>
            </w:r>
          </w:p>
        </w:tc>
        <w:tc>
          <w:tcPr/>
          <w:p>
            <w:pPr>
              <w:pStyle w:val="Compact"/>
              <w:jc w:val="left"/>
            </w:pPr>
            <w:r>
              <w:t xml:space="preserve">Active management value-add</w:t>
            </w:r>
          </w:p>
        </w:tc>
      </w:tr>
      <w:tr>
        <w:tc>
          <w:tcPr/>
          <w:p>
            <w:pPr>
              <w:pStyle w:val="Compact"/>
              <w:jc w:val="left"/>
            </w:pPr>
            <w:r>
              <w:t xml:space="preserve">Duration contribution</w:t>
            </w:r>
          </w:p>
        </w:tc>
        <w:tc>
          <w:tcPr/>
          <w:p>
            <w:pPr>
              <w:pStyle w:val="Compact"/>
              <w:jc w:val="left"/>
            </w:pPr>
            <w:r>
              <w:t xml:space="preserve">Position DV01 × yield change</w:t>
            </w:r>
          </w:p>
        </w:tc>
        <w:tc>
          <w:tcPr/>
          <w:p>
            <w:pPr>
              <w:pStyle w:val="Compact"/>
              <w:jc w:val="left"/>
            </w:pPr>
            <w:r>
              <w:t xml:space="preserve">Interest rate risk attribution</w:t>
            </w:r>
          </w:p>
        </w:tc>
      </w:tr>
      <w:tr>
        <w:tc>
          <w:tcPr/>
          <w:p>
            <w:pPr>
              <w:pStyle w:val="Compact"/>
              <w:jc w:val="left"/>
            </w:pPr>
            <w:r>
              <w:t xml:space="preserve">Credit spread contribution</w:t>
            </w:r>
          </w:p>
        </w:tc>
        <w:tc>
          <w:tcPr/>
          <w:p>
            <w:pPr>
              <w:pStyle w:val="Compact"/>
              <w:jc w:val="left"/>
            </w:pPr>
            <w:r>
              <w:t xml:space="preserve">Spread change × spread duration</w:t>
            </w:r>
          </w:p>
        </w:tc>
        <w:tc>
          <w:tcPr/>
          <w:p>
            <w:pPr>
              <w:pStyle w:val="Compact"/>
              <w:jc w:val="left"/>
            </w:pPr>
            <w:r>
              <w:t xml:space="preserve">Credit risk attribution</w:t>
            </w:r>
          </w:p>
        </w:tc>
      </w:tr>
      <w:tr>
        <w:tc>
          <w:tcPr/>
          <w:p>
            <w:pPr>
              <w:pStyle w:val="Compact"/>
              <w:jc w:val="left"/>
            </w:pPr>
            <w:r>
              <w:t xml:space="preserve">Security selection</w:t>
            </w:r>
          </w:p>
        </w:tc>
        <w:tc>
          <w:tcPr/>
          <w:p>
            <w:pPr>
              <w:pStyle w:val="Compact"/>
              <w:jc w:val="left"/>
            </w:pPr>
            <w:r>
              <w:t xml:space="preserve">Actual return − model return</w:t>
            </w:r>
          </w:p>
        </w:tc>
        <w:tc>
          <w:tcPr/>
          <w:p>
            <w:pPr>
              <w:pStyle w:val="Compact"/>
              <w:jc w:val="left"/>
            </w:pPr>
            <w:r>
              <w:t xml:space="preserve">Picking skill assessment</w:t>
            </w:r>
          </w:p>
        </w:tc>
      </w:tr>
    </w:tbl>
    <w:bookmarkEnd w:id="72"/>
    <w:bookmarkStart w:id="73" w:name="X2729944d563a62efe1ade8770fbd5cac44574f1"/>
    <w:p>
      <w:pPr>
        <w:pStyle w:val="5"/>
      </w:pPr>
      <w:r>
        <w:t xml:space="preserve">3.4.2.2 Liquidity Position and Cash Flow Forecasting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Forecast Horizon</w:t>
            </w:r>
          </w:p>
        </w:tc>
        <w:tc>
          <w:tcPr/>
          <w:p>
            <w:pPr>
              <w:pStyle w:val="Compact"/>
              <w:jc w:val="left"/>
            </w:pPr>
            <w:r>
              <w:rPr>
                <w:b/>
                <w:bCs/>
              </w:rPr>
              <w:t xml:space="preserve">Purpose</w:t>
            </w:r>
          </w:p>
        </w:tc>
        <w:tc>
          <w:tcPr/>
          <w:p>
            <w:pPr>
              <w:pStyle w:val="Compact"/>
              <w:jc w:val="left"/>
            </w:pPr>
            <w:r>
              <w:rPr>
                <w:b/>
                <w:bCs/>
              </w:rPr>
              <w:t xml:space="preserve">Key Inputs</w:t>
            </w:r>
          </w:p>
        </w:tc>
      </w:tr>
      <w:tr>
        <w:tc>
          <w:tcPr/>
          <w:p>
            <w:pPr>
              <w:pStyle w:val="Compact"/>
              <w:jc w:val="left"/>
            </w:pPr>
            <w:r>
              <w:t xml:space="preserve">Intraday</w:t>
            </w:r>
          </w:p>
        </w:tc>
        <w:tc>
          <w:tcPr/>
          <w:p>
            <w:pPr>
              <w:pStyle w:val="Compact"/>
              <w:jc w:val="left"/>
            </w:pPr>
            <w:r>
              <w:t xml:space="preserve">BAHTNET funding management</w:t>
            </w:r>
          </w:p>
        </w:tc>
        <w:tc>
          <w:tcPr/>
          <w:p>
            <w:pPr>
              <w:pStyle w:val="Compact"/>
              <w:jc w:val="left"/>
            </w:pPr>
            <w:r>
              <w:t xml:space="preserve">Real-time positions, pending settlements</w:t>
            </w:r>
          </w:p>
        </w:tc>
      </w:tr>
      <w:tr>
        <w:tc>
          <w:tcPr/>
          <w:p>
            <w:pPr>
              <w:pStyle w:val="Compact"/>
              <w:jc w:val="left"/>
            </w:pPr>
            <w:r>
              <w:t xml:space="preserve">1–7 days</w:t>
            </w:r>
          </w:p>
        </w:tc>
        <w:tc>
          <w:tcPr/>
          <w:p>
            <w:pPr>
              <w:pStyle w:val="Compact"/>
              <w:jc w:val="left"/>
            </w:pPr>
            <w:r>
              <w:t xml:space="preserve">Operational liquidity</w:t>
            </w:r>
          </w:p>
        </w:tc>
        <w:tc>
          <w:tcPr/>
          <w:p>
            <w:pPr>
              <w:pStyle w:val="Compact"/>
              <w:jc w:val="left"/>
            </w:pPr>
            <w:r>
              <w:t xml:space="preserve">Maturing repos, known cash flows</w:t>
            </w:r>
          </w:p>
        </w:tc>
      </w:tr>
      <w:tr>
        <w:tc>
          <w:tcPr/>
          <w:p>
            <w:pPr>
              <w:pStyle w:val="Compact"/>
              <w:jc w:val="left"/>
            </w:pPr>
            <w:r>
              <w:t xml:space="preserve">1–3 months</w:t>
            </w:r>
          </w:p>
        </w:tc>
        <w:tc>
          <w:tcPr/>
          <w:p>
            <w:pPr>
              <w:pStyle w:val="Compact"/>
              <w:jc w:val="left"/>
            </w:pPr>
            <w:r>
              <w:t xml:space="preserve">Tactical planning</w:t>
            </w:r>
          </w:p>
        </w:tc>
        <w:tc>
          <w:tcPr/>
          <w:p>
            <w:pPr>
              <w:pStyle w:val="Compact"/>
              <w:jc w:val="left"/>
            </w:pPr>
            <w:r>
              <w:t xml:space="preserve">Bond maturities, seasonal patterns</w:t>
            </w:r>
          </w:p>
        </w:tc>
      </w:tr>
      <w:tr>
        <w:tc>
          <w:tcPr/>
          <w:p>
            <w:pPr>
              <w:pStyle w:val="Compact"/>
              <w:jc w:val="left"/>
            </w:pPr>
            <w:r>
              <w:t xml:space="preserve">1 year+</w:t>
            </w:r>
          </w:p>
        </w:tc>
        <w:tc>
          <w:tcPr/>
          <w:p>
            <w:pPr>
              <w:pStyle w:val="Compact"/>
              <w:jc w:val="left"/>
            </w:pPr>
            <w:r>
              <w:t xml:space="preserve">Strategic ALM</w:t>
            </w:r>
          </w:p>
        </w:tc>
        <w:tc>
          <w:tcPr/>
          <w:p>
            <w:pPr>
              <w:pStyle w:val="Compact"/>
              <w:jc w:val="left"/>
            </w:pPr>
            <w:r>
              <w:t xml:space="preserve">Bond portfolio cash flows, liability matching</w:t>
            </w:r>
          </w:p>
        </w:tc>
      </w:tr>
    </w:tbl>
    <w:bookmarkEnd w:id="73"/>
    <w:bookmarkStart w:id="74" w:name="risk-exposure-dashboards"/>
    <w:p>
      <w:pPr>
        <w:pStyle w:val="5"/>
      </w:pPr>
      <w:r>
        <w:t xml:space="preserve">3.4.2.3 Risk Exposure Dashboards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Category</w:t>
            </w:r>
          </w:p>
        </w:tc>
        <w:tc>
          <w:tcPr/>
          <w:p>
            <w:pPr>
              <w:pStyle w:val="Compact"/>
              <w:jc w:val="left"/>
            </w:pPr>
            <w:r>
              <w:rPr>
                <w:b/>
                <w:bCs/>
              </w:rPr>
              <w:t xml:space="preserve">Metrics</w:t>
            </w:r>
          </w:p>
        </w:tc>
        <w:tc>
          <w:tcPr/>
          <w:p>
            <w:pPr>
              <w:pStyle w:val="Compact"/>
              <w:jc w:val="left"/>
            </w:pPr>
            <w:r>
              <w:rPr>
                <w:b/>
                <w:bCs/>
              </w:rPr>
              <w:t xml:space="preserve">Visualization</w:t>
            </w:r>
          </w:p>
        </w:tc>
      </w:tr>
      <w:tr>
        <w:tc>
          <w:tcPr/>
          <w:p>
            <w:pPr>
              <w:pStyle w:val="Compact"/>
              <w:jc w:val="left"/>
            </w:pPr>
            <w:r>
              <w:t xml:space="preserve">Market risk</w:t>
            </w:r>
          </w:p>
        </w:tc>
        <w:tc>
          <w:tcPr/>
          <w:p>
            <w:pPr>
              <w:pStyle w:val="Compact"/>
              <w:jc w:val="left"/>
            </w:pPr>
            <w:r>
              <w:t xml:space="preserve">DV01, duration, VaR, stress test results</w:t>
            </w:r>
          </w:p>
        </w:tc>
        <w:tc>
          <w:tcPr/>
          <w:p>
            <w:pPr>
              <w:pStyle w:val="Compact"/>
              <w:jc w:val="left"/>
            </w:pPr>
            <w:r>
              <w:t xml:space="preserve">Heat maps, trend charts, scenario comparison</w:t>
            </w:r>
          </w:p>
        </w:tc>
      </w:tr>
      <w:tr>
        <w:tc>
          <w:tcPr/>
          <w:p>
            <w:pPr>
              <w:pStyle w:val="Compact"/>
              <w:jc w:val="left"/>
            </w:pPr>
            <w:r>
              <w:t xml:space="preserve">Credit risk</w:t>
            </w:r>
          </w:p>
        </w:tc>
        <w:tc>
          <w:tcPr/>
          <w:p>
            <w:pPr>
              <w:pStyle w:val="Compact"/>
              <w:jc w:val="left"/>
            </w:pPr>
            <w:r>
              <w:t xml:space="preserve">Exposure by rating, sector, issuer; ECL trends</w:t>
            </w:r>
          </w:p>
        </w:tc>
        <w:tc>
          <w:tcPr/>
          <w:p>
            <w:pPr>
              <w:pStyle w:val="Compact"/>
              <w:jc w:val="left"/>
            </w:pPr>
            <w:r>
              <w:t xml:space="preserve">Concentration pie charts, migration matrices</w:t>
            </w:r>
          </w:p>
        </w:tc>
      </w:tr>
      <w:tr>
        <w:tc>
          <w:tcPr/>
          <w:p>
            <w:pPr>
              <w:pStyle w:val="Compact"/>
              <w:jc w:val="left"/>
            </w:pPr>
            <w:r>
              <w:t xml:space="preserve">Liquidity risk</w:t>
            </w:r>
          </w:p>
        </w:tc>
        <w:tc>
          <w:tcPr/>
          <w:p>
            <w:pPr>
              <w:pStyle w:val="Compact"/>
              <w:jc w:val="left"/>
            </w:pPr>
            <w:r>
              <w:t xml:space="preserve">LCR, NSFR, survival horizon, funding gaps</w:t>
            </w:r>
          </w:p>
        </w:tc>
        <w:tc>
          <w:tcPr/>
          <w:p>
            <w:pPr>
              <w:pStyle w:val="Compact"/>
              <w:jc w:val="left"/>
            </w:pPr>
            <w:r>
              <w:t xml:space="preserve">Time-series, stress scenario waterfalls</w:t>
            </w:r>
          </w:p>
        </w:tc>
      </w:tr>
      <w:tr>
        <w:tc>
          <w:tcPr/>
          <w:p>
            <w:pPr>
              <w:pStyle w:val="Compact"/>
              <w:jc w:val="left"/>
            </w:pPr>
            <w:r>
              <w:t xml:space="preserve">Operational risk</w:t>
            </w:r>
          </w:p>
        </w:tc>
        <w:tc>
          <w:tcPr/>
          <w:p>
            <w:pPr>
              <w:pStyle w:val="Compact"/>
              <w:jc w:val="left"/>
            </w:pPr>
            <w:r>
              <w:t xml:space="preserve">Settlement fails, confirmation delays, system outages</w:t>
            </w:r>
          </w:p>
        </w:tc>
        <w:tc>
          <w:tcPr/>
          <w:p>
            <w:pPr>
              <w:pStyle w:val="Compact"/>
              <w:jc w:val="left"/>
            </w:pPr>
            <w:r>
              <w:t xml:space="preserve">Exception dashboards, root cause tracking</w:t>
            </w:r>
          </w:p>
        </w:tc>
      </w:tr>
    </w:tbl>
    <w:bookmarkEnd w:id="74"/>
    <w:bookmarkEnd w:id="75"/>
    <w:bookmarkStart w:id="76" w:name="audit-trail-and-transaction-history"/>
    <w:p>
      <w:pPr>
        <w:pStyle w:val="4"/>
      </w:pPr>
      <w:r>
        <w:t xml:space="preserve">3.4.3 Audit Trail and Transaction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Retention Requirement</w:t>
            </w:r>
          </w:p>
        </w:tc>
        <w:tc>
          <w:tcPr/>
          <w:p>
            <w:pPr>
              <w:pStyle w:val="Compact"/>
              <w:jc w:val="left"/>
            </w:pPr>
            <w:r>
              <w:rPr>
                <w:b/>
                <w:bCs/>
              </w:rPr>
              <w:t xml:space="preserve">Implementation</w:t>
            </w:r>
          </w:p>
        </w:tc>
      </w:tr>
      <w:tr>
        <w:tc>
          <w:tcPr/>
          <w:p>
            <w:pPr>
              <w:pStyle w:val="Compact"/>
              <w:jc w:val="left"/>
            </w:pPr>
            <w:r>
              <w:t xml:space="preserve">5 years minimum (Thai regulations)</w:t>
            </w:r>
          </w:p>
        </w:tc>
        <w:tc>
          <w:tcPr/>
          <w:p>
            <w:pPr>
              <w:pStyle w:val="Compact"/>
              <w:jc w:val="left"/>
            </w:pPr>
            <w:r>
              <w:t xml:space="preserve">Online accessible for 2 years, archival storage thereafter</w:t>
            </w:r>
          </w:p>
        </w:tc>
      </w:tr>
      <w:tr>
        <w:tc>
          <w:tcPr/>
          <w:p>
            <w:pPr>
              <w:pStyle w:val="Compact"/>
              <w:jc w:val="left"/>
            </w:pPr>
            <w:r>
              <w:t xml:space="preserve">Immutable logging</w:t>
            </w:r>
          </w:p>
        </w:tc>
        <w:tc>
          <w:tcPr/>
          <w:p>
            <w:pPr>
              <w:pStyle w:val="Compact"/>
              <w:jc w:val="left"/>
            </w:pPr>
            <w:r>
              <w:t xml:space="preserve">Write-once storage, cryptographic hashing, or blockchain</w:t>
            </w:r>
          </w:p>
        </w:tc>
      </w:tr>
      <w:tr>
        <w:tc>
          <w:tcPr/>
          <w:p>
            <w:pPr>
              <w:pStyle w:val="Compact"/>
              <w:jc w:val="left"/>
            </w:pPr>
            <w:r>
              <w:t xml:space="preserve">Comprehensive capture</w:t>
            </w:r>
          </w:p>
        </w:tc>
        <w:tc>
          <w:tcPr/>
          <w:p>
            <w:pPr>
              <w:pStyle w:val="Compact"/>
              <w:jc w:val="left"/>
            </w:pPr>
            <w:r>
              <w:t xml:space="preserve">All user actions, system processes, external interfaces</w:t>
            </w:r>
          </w:p>
        </w:tc>
      </w:tr>
      <w:tr>
        <w:tc>
          <w:tcPr/>
          <w:p>
            <w:pPr>
              <w:pStyle w:val="Compact"/>
              <w:jc w:val="left"/>
            </w:pPr>
            <w:r>
              <w:t xml:space="preserve">Searchable, reconstructible</w:t>
            </w:r>
          </w:p>
        </w:tc>
        <w:tc>
          <w:tcPr/>
          <w:p>
            <w:pPr>
              <w:pStyle w:val="Compact"/>
              <w:jc w:val="left"/>
            </w:pPr>
            <w:r>
              <w:t xml:space="preserve">Point-in-time position reconstruction, transaction lifecycle tracing</w:t>
            </w:r>
          </w:p>
        </w:tc>
      </w:tr>
    </w:tbl>
    <w:bookmarkEnd w:id="76"/>
    <w:bookmarkEnd w:id="77"/>
    <w:bookmarkStart w:id="84" w:name="compliance-and-risk-control-module"/>
    <w:p>
      <w:pPr>
        <w:pStyle w:val="3"/>
      </w:pPr>
      <w:r>
        <w:t xml:space="preserve">3.5 Compliance and Risk Control Module</w:t>
      </w:r>
    </w:p>
    <w:bookmarkStart w:id="78" w:name="counterparty-credit-limit-management"/>
    <w:p>
      <w:pPr>
        <w:pStyle w:val="4"/>
      </w:pPr>
      <w:r>
        <w:t xml:space="preserve">3.5.1 Counterparty Credit Limit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 Dimension</w:t>
            </w:r>
          </w:p>
        </w:tc>
        <w:tc>
          <w:tcPr/>
          <w:p>
            <w:pPr>
              <w:pStyle w:val="Compact"/>
              <w:jc w:val="left"/>
            </w:pPr>
            <w:r>
              <w:rPr>
                <w:b/>
                <w:bCs/>
              </w:rPr>
              <w:t xml:space="preserve">Measurement</w:t>
            </w:r>
          </w:p>
        </w:tc>
        <w:tc>
          <w:tcPr/>
          <w:p>
            <w:pPr>
              <w:pStyle w:val="Compact"/>
              <w:jc w:val="left"/>
            </w:pPr>
            <w:r>
              <w:rPr>
                <w:b/>
                <w:bCs/>
              </w:rPr>
              <w:t xml:space="preserve">Monitoring Frequency</w:t>
            </w:r>
          </w:p>
        </w:tc>
      </w:tr>
      <w:tr>
        <w:tc>
          <w:tcPr/>
          <w:p>
            <w:pPr>
              <w:pStyle w:val="Compact"/>
              <w:jc w:val="left"/>
            </w:pPr>
            <w:r>
              <w:t xml:space="preserve">Single name</w:t>
            </w:r>
          </w:p>
        </w:tc>
        <w:tc>
          <w:tcPr/>
          <w:p>
            <w:pPr>
              <w:pStyle w:val="Compact"/>
              <w:jc w:val="left"/>
            </w:pPr>
            <w:r>
              <w:t xml:space="preserve">Sum of all exposures (direct + contingent)</w:t>
            </w:r>
          </w:p>
        </w:tc>
        <w:tc>
          <w:tcPr/>
          <w:p>
            <w:pPr>
              <w:pStyle w:val="Compact"/>
              <w:jc w:val="left"/>
            </w:pPr>
            <w:r>
              <w:t xml:space="preserve">Real-time</w:t>
            </w:r>
          </w:p>
        </w:tc>
      </w:tr>
      <w:tr>
        <w:tc>
          <w:tcPr/>
          <w:p>
            <w:pPr>
              <w:pStyle w:val="Compact"/>
              <w:jc w:val="left"/>
            </w:pPr>
            <w:r>
              <w:t xml:space="preserve">Group/connected</w:t>
            </w:r>
          </w:p>
        </w:tc>
        <w:tc>
          <w:tcPr/>
          <w:p>
            <w:pPr>
              <w:pStyle w:val="Compact"/>
              <w:jc w:val="left"/>
            </w:pPr>
            <w:r>
              <w:t xml:space="preserve">Aggregated across legal entities</w:t>
            </w:r>
          </w:p>
        </w:tc>
        <w:tc>
          <w:tcPr/>
          <w:p>
            <w:pPr>
              <w:pStyle w:val="Compact"/>
              <w:jc w:val="left"/>
            </w:pPr>
            <w:r>
              <w:t xml:space="preserve">Daily</w:t>
            </w:r>
          </w:p>
        </w:tc>
      </w:tr>
      <w:tr>
        <w:tc>
          <w:tcPr/>
          <w:p>
            <w:pPr>
              <w:pStyle w:val="Compact"/>
              <w:jc w:val="left"/>
            </w:pPr>
            <w:r>
              <w:t xml:space="preserve">Tenor bucket</w:t>
            </w:r>
          </w:p>
        </w:tc>
        <w:tc>
          <w:tcPr/>
          <w:p>
            <w:pPr>
              <w:pStyle w:val="Compact"/>
              <w:jc w:val="left"/>
            </w:pPr>
            <w:r>
              <w:t xml:space="preserve">Time-banded exposure profile</w:t>
            </w:r>
          </w:p>
        </w:tc>
        <w:tc>
          <w:tcPr/>
          <w:p>
            <w:pPr>
              <w:pStyle w:val="Compact"/>
              <w:jc w:val="left"/>
            </w:pPr>
            <w:r>
              <w:t xml:space="preserve">Daily</w:t>
            </w:r>
          </w:p>
        </w:tc>
      </w:tr>
      <w:tr>
        <w:tc>
          <w:tcPr/>
          <w:p>
            <w:pPr>
              <w:pStyle w:val="Compact"/>
              <w:jc w:val="left"/>
            </w:pPr>
            <w:r>
              <w:t xml:space="preserve">Collateral-adjusted</w:t>
            </w:r>
          </w:p>
        </w:tc>
        <w:tc>
          <w:tcPr/>
          <w:p>
            <w:pPr>
              <w:pStyle w:val="Compact"/>
              <w:jc w:val="left"/>
            </w:pPr>
            <w:r>
              <w:t xml:space="preserve">Exposure net of haircut-adjusted collateral</w:t>
            </w:r>
          </w:p>
        </w:tc>
        <w:tc>
          <w:tcPr/>
          <w:p>
            <w:pPr>
              <w:pStyle w:val="Compact"/>
              <w:jc w:val="left"/>
            </w:pPr>
            <w:r>
              <w:t xml:space="preserve">Real-time for repos</w:t>
            </w:r>
          </w:p>
        </w:tc>
      </w:tr>
    </w:tbl>
    <w:bookmarkEnd w:id="78"/>
    <w:bookmarkStart w:id="79" w:name="X519985a05daf6cd7d9ef8aa9afcc21bc104b4af"/>
    <w:p>
      <w:pPr>
        <w:pStyle w:val="4"/>
      </w:pPr>
      <w:r>
        <w:t xml:space="preserve">3.5.2 Concentration Risk Monitoring (Single Issuer, Sector,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Concentration Type</w:t>
            </w:r>
          </w:p>
        </w:tc>
        <w:tc>
          <w:tcPr/>
          <w:p>
            <w:pPr>
              <w:pStyle w:val="Compact"/>
              <w:jc w:val="left"/>
            </w:pPr>
            <w:r>
              <w:rPr>
                <w:b/>
                <w:bCs/>
              </w:rPr>
              <w:t xml:space="preserve">Typical Limit</w:t>
            </w:r>
          </w:p>
        </w:tc>
        <w:tc>
          <w:tcPr/>
          <w:p>
            <w:pPr>
              <w:pStyle w:val="Compact"/>
              <w:jc w:val="left"/>
            </w:pPr>
            <w:r>
              <w:rPr>
                <w:b/>
                <w:bCs/>
              </w:rPr>
              <w:t xml:space="preserve">System Action</w:t>
            </w:r>
          </w:p>
        </w:tc>
      </w:tr>
      <w:tr>
        <w:tc>
          <w:tcPr/>
          <w:p>
            <w:pPr>
              <w:pStyle w:val="Compact"/>
              <w:jc w:val="left"/>
            </w:pPr>
            <w:r>
              <w:t xml:space="preserve">Single issuer</w:t>
            </w:r>
          </w:p>
        </w:tc>
        <w:tc>
          <w:tcPr/>
          <w:p>
            <w:pPr>
              <w:pStyle w:val="Compact"/>
              <w:jc w:val="left"/>
            </w:pPr>
            <w:r>
              <w:t xml:space="preserve">10–15% of portfolio</w:t>
            </w:r>
          </w:p>
        </w:tc>
        <w:tc>
          <w:tcPr/>
          <w:p>
            <w:pPr>
              <w:pStyle w:val="Compact"/>
              <w:jc w:val="left"/>
            </w:pPr>
            <w:r>
              <w:t xml:space="preserve">Warning at 80%, escalation at 100%</w:t>
            </w:r>
          </w:p>
        </w:tc>
      </w:tr>
      <w:tr>
        <w:tc>
          <w:tcPr/>
          <w:p>
            <w:pPr>
              <w:pStyle w:val="Compact"/>
              <w:jc w:val="left"/>
            </w:pPr>
            <w:r>
              <w:t xml:space="preserve">Sector (e.g., financials)</w:t>
            </w:r>
          </w:p>
        </w:tc>
        <w:tc>
          <w:tcPr/>
          <w:p>
            <w:pPr>
              <w:pStyle w:val="Compact"/>
              <w:jc w:val="left"/>
            </w:pPr>
            <w:r>
              <w:t xml:space="preserve">25–30% of portfolio</w:t>
            </w:r>
          </w:p>
        </w:tc>
        <w:tc>
          <w:tcPr/>
          <w:p>
            <w:pPr>
              <w:pStyle w:val="Compact"/>
              <w:jc w:val="left"/>
            </w:pPr>
            <w:r>
              <w:t xml:space="preserve">Board-level reporting if approached</w:t>
            </w:r>
          </w:p>
        </w:tc>
      </w:tr>
      <w:tr>
        <w:tc>
          <w:tcPr/>
          <w:p>
            <w:pPr>
              <w:pStyle w:val="Compact"/>
              <w:jc w:val="left"/>
            </w:pPr>
            <w:r>
              <w:t xml:space="preserve">Rating category (e.g., BBB)</w:t>
            </w:r>
          </w:p>
        </w:tc>
        <w:tc>
          <w:tcPr/>
          <w:p>
            <w:pPr>
              <w:pStyle w:val="Compact"/>
              <w:jc w:val="left"/>
            </w:pPr>
            <w:r>
              <w:t xml:space="preserve">20% of corporate exposure</w:t>
            </w:r>
          </w:p>
        </w:tc>
        <w:tc>
          <w:tcPr/>
          <w:p>
            <w:pPr>
              <w:pStyle w:val="Compact"/>
              <w:jc w:val="left"/>
            </w:pPr>
            <w:r>
              <w:t xml:space="preserve">Stress testing, downgrade scenario analysis</w:t>
            </w:r>
          </w:p>
        </w:tc>
      </w:tr>
      <w:tr>
        <w:tc>
          <w:tcPr/>
          <w:p>
            <w:pPr>
              <w:pStyle w:val="Compact"/>
              <w:jc w:val="left"/>
            </w:pPr>
            <w:r>
              <w:t xml:space="preserve">Sovereign/quasi-sovereign</w:t>
            </w:r>
          </w:p>
        </w:tc>
        <w:tc>
          <w:tcPr/>
          <w:p>
            <w:pPr>
              <w:pStyle w:val="Compact"/>
              <w:jc w:val="left"/>
            </w:pPr>
            <w:r>
              <w:t xml:space="preserve">Regulatory large exposure limits</w:t>
            </w:r>
          </w:p>
        </w:tc>
        <w:tc>
          <w:tcPr/>
          <w:p>
            <w:pPr>
              <w:pStyle w:val="Compact"/>
              <w:jc w:val="left"/>
            </w:pPr>
            <w:r>
              <w:t xml:space="preserve">Hard regulatory caps</w:t>
            </w:r>
          </w:p>
        </w:tc>
      </w:tr>
    </w:tbl>
    <w:bookmarkEnd w:id="79"/>
    <w:bookmarkStart w:id="80" w:name="X3517e66ddaa88f5e09f742690e5787fb107ffc9"/>
    <w:p>
      <w:pPr>
        <w:pStyle w:val="4"/>
      </w:pPr>
      <w:r>
        <w:t xml:space="preserve">3.5.3 Market Risk Measurement (Duration, DV01, VaR)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Application</w:t>
            </w:r>
          </w:p>
        </w:tc>
        <w:tc>
          <w:tcPr/>
          <w:p>
            <w:pPr>
              <w:pStyle w:val="Compact"/>
              <w:jc w:val="left"/>
            </w:pPr>
            <w:r>
              <w:rPr>
                <w:b/>
                <w:bCs/>
              </w:rPr>
              <w:t xml:space="preserve">Calculation Method</w:t>
            </w:r>
          </w:p>
        </w:tc>
      </w:tr>
      <w:tr>
        <w:tc>
          <w:tcPr/>
          <w:p>
            <w:pPr>
              <w:pStyle w:val="Compact"/>
              <w:jc w:val="left"/>
            </w:pPr>
            <w:r>
              <w:t xml:space="preserve">Modified duration</w:t>
            </w:r>
          </w:p>
        </w:tc>
        <w:tc>
          <w:tcPr/>
          <w:p>
            <w:pPr>
              <w:pStyle w:val="Compact"/>
              <w:jc w:val="left"/>
            </w:pPr>
            <w:r>
              <w:t xml:space="preserve">Interest rate sensitivity</w:t>
            </w:r>
          </w:p>
        </w:tc>
        <w:tc>
          <w:tcPr/>
          <w:p>
            <w:pPr>
              <w:pStyle w:val="Compact"/>
              <w:jc w:val="left"/>
            </w:pPr>
            <w:r>
              <w:t xml:space="preserve">Price change for 1% yield shift</w:t>
            </w:r>
          </w:p>
        </w:tc>
      </w:tr>
      <w:tr>
        <w:tc>
          <w:tcPr/>
          <w:p>
            <w:pPr>
              <w:pStyle w:val="Compact"/>
              <w:jc w:val="left"/>
            </w:pPr>
            <w:r>
              <w:t xml:space="preserve">DV01</w:t>
            </w:r>
          </w:p>
        </w:tc>
        <w:tc>
          <w:tcPr/>
          <w:p>
            <w:pPr>
              <w:pStyle w:val="Compact"/>
              <w:jc w:val="left"/>
            </w:pPr>
            <w:r>
              <w:t xml:space="preserve">Monetary risk exposure</w:t>
            </w:r>
          </w:p>
        </w:tc>
        <w:tc>
          <w:tcPr/>
          <w:p>
            <w:pPr>
              <w:pStyle w:val="Compact"/>
              <w:jc w:val="left"/>
            </w:pPr>
            <w:r>
              <w:t xml:space="preserve">Price change for 1bp yield shift</w:t>
            </w:r>
          </w:p>
        </w:tc>
      </w:tr>
      <w:tr>
        <w:tc>
          <w:tcPr/>
          <w:p>
            <w:pPr>
              <w:pStyle w:val="Compact"/>
              <w:jc w:val="left"/>
            </w:pPr>
            <w:r>
              <w:t xml:space="preserve">Convexity</w:t>
            </w:r>
          </w:p>
        </w:tc>
        <w:tc>
          <w:tcPr/>
          <w:p>
            <w:pPr>
              <w:pStyle w:val="Compact"/>
              <w:jc w:val="left"/>
            </w:pPr>
            <w:r>
              <w:t xml:space="preserve">Second-order rate risk</w:t>
            </w:r>
          </w:p>
        </w:tc>
        <w:tc>
          <w:tcPr/>
          <w:p>
            <w:pPr>
              <w:pStyle w:val="Compact"/>
              <w:jc w:val="left"/>
            </w:pPr>
            <w:r>
              <w:t xml:space="preserve">Adjustment for large yield moves</w:t>
            </w:r>
          </w:p>
        </w:tc>
      </w:tr>
      <w:tr>
        <w:tc>
          <w:tcPr/>
          <w:p>
            <w:pPr>
              <w:pStyle w:val="Compact"/>
              <w:jc w:val="left"/>
            </w:pPr>
            <w:r>
              <w:t xml:space="preserve">VaR (95% or 99%)</w:t>
            </w:r>
          </w:p>
        </w:tc>
        <w:tc>
          <w:tcPr/>
          <w:p>
            <w:pPr>
              <w:pStyle w:val="Compact"/>
              <w:jc w:val="left"/>
            </w:pPr>
            <w:r>
              <w:t xml:space="preserve">Potential loss estimate</w:t>
            </w:r>
          </w:p>
        </w:tc>
        <w:tc>
          <w:tcPr/>
          <w:p>
            <w:pPr>
              <w:pStyle w:val="Compact"/>
              <w:jc w:val="left"/>
            </w:pPr>
            <w:r>
              <w:t xml:space="preserve">Historical simulation using Thai market data</w:t>
            </w:r>
          </w:p>
        </w:tc>
      </w:tr>
      <w:tr>
        <w:tc>
          <w:tcPr/>
          <w:p>
            <w:pPr>
              <w:pStyle w:val="Compact"/>
              <w:jc w:val="left"/>
            </w:pPr>
            <w:r>
              <w:t xml:space="preserve">Stress testing</w:t>
            </w:r>
          </w:p>
        </w:tc>
        <w:tc>
          <w:tcPr/>
          <w:p>
            <w:pPr>
              <w:pStyle w:val="Compact"/>
              <w:jc w:val="left"/>
            </w:pPr>
            <w:r>
              <w:t xml:space="preserve">Extreme scenario impact</w:t>
            </w:r>
          </w:p>
        </w:tc>
        <w:tc>
          <w:tcPr/>
          <w:p>
            <w:pPr>
              <w:pStyle w:val="Compact"/>
              <w:jc w:val="left"/>
            </w:pPr>
            <w:r>
              <w:t xml:space="preserve">Parallel shift, steepening, credit spread widening</w:t>
            </w:r>
          </w:p>
        </w:tc>
      </w:tr>
    </w:tbl>
    <w:bookmarkEnd w:id="80"/>
    <w:bookmarkStart w:id="81" w:name="Xd395519eb63d35538b498bb85a78b1518558d8d"/>
    <w:p>
      <w:pPr>
        <w:pStyle w:val="4"/>
      </w:pPr>
      <w:r>
        <w:t xml:space="preserve">3.5.4 AML/KYC Integration and Suspicious Transaction Monitoring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Integration Point</w:t>
            </w:r>
          </w:p>
        </w:tc>
        <w:tc>
          <w:tcPr/>
          <w:p>
            <w:pPr>
              <w:pStyle w:val="Compact"/>
              <w:jc w:val="left"/>
            </w:pPr>
            <w:r>
              <w:rPr>
                <w:b/>
                <w:bCs/>
              </w:rPr>
              <w:t xml:space="preserve">Functionality</w:t>
            </w:r>
          </w:p>
        </w:tc>
      </w:tr>
      <w:tr>
        <w:tc>
          <w:tcPr/>
          <w:p>
            <w:pPr>
              <w:pStyle w:val="Compact"/>
              <w:jc w:val="left"/>
            </w:pPr>
            <w:r>
              <w:t xml:space="preserve">Counterparty onboarding</w:t>
            </w:r>
          </w:p>
        </w:tc>
        <w:tc>
          <w:tcPr/>
          <w:p>
            <w:pPr>
              <w:pStyle w:val="Compact"/>
              <w:jc w:val="left"/>
            </w:pPr>
            <w:r>
              <w:t xml:space="preserve">KYC verification, sanctions screening, PEP check</w:t>
            </w:r>
          </w:p>
        </w:tc>
      </w:tr>
      <w:tr>
        <w:tc>
          <w:tcPr/>
          <w:p>
            <w:pPr>
              <w:pStyle w:val="Compact"/>
              <w:jc w:val="left"/>
            </w:pPr>
            <w:r>
              <w:t xml:space="preserve">Transaction monitoring</w:t>
            </w:r>
          </w:p>
        </w:tc>
        <w:tc>
          <w:tcPr/>
          <w:p>
            <w:pPr>
              <w:pStyle w:val="Compact"/>
              <w:jc w:val="left"/>
            </w:pPr>
            <w:r>
              <w:t xml:space="preserve">Pattern analysis, threshold alerts, unusual activity flags</w:t>
            </w:r>
          </w:p>
        </w:tc>
      </w:tr>
      <w:tr>
        <w:tc>
          <w:tcPr/>
          <w:p>
            <w:pPr>
              <w:pStyle w:val="Compact"/>
              <w:jc w:val="left"/>
            </w:pPr>
            <w:r>
              <w:t xml:space="preserve">Regulatory reporting</w:t>
            </w:r>
          </w:p>
        </w:tc>
        <w:tc>
          <w:tcPr/>
          <w:p>
            <w:pPr>
              <w:pStyle w:val="Compact"/>
              <w:jc w:val="left"/>
            </w:pPr>
            <w:r>
              <w:t xml:space="preserve">STR (Suspicious Transaction Report) generation for AMLO</w:t>
            </w:r>
          </w:p>
        </w:tc>
      </w:tr>
      <w:tr>
        <w:tc>
          <w:tcPr/>
          <w:p>
            <w:pPr>
              <w:pStyle w:val="Compact"/>
              <w:jc w:val="left"/>
            </w:pPr>
            <w:r>
              <w:t xml:space="preserve">Record keeping</w:t>
            </w:r>
          </w:p>
        </w:tc>
        <w:tc>
          <w:tcPr/>
          <w:p>
            <w:pPr>
              <w:pStyle w:val="Compact"/>
              <w:jc w:val="left"/>
            </w:pPr>
            <w:r>
              <w:t xml:space="preserve">5-year retention, audit trail for examinations</w:t>
            </w:r>
          </w:p>
        </w:tc>
      </w:tr>
    </w:tbl>
    <w:bookmarkEnd w:id="81"/>
    <w:bookmarkStart w:id="82" w:name="Xada5f1bacb7a47daabfa0a9dd3d99d2b16cd4de"/>
    <w:p>
      <w:pPr>
        <w:pStyle w:val="4"/>
      </w:pPr>
      <w:r>
        <w:t xml:space="preserve">3.5.5 Four-Eyes Principle and Trade Approval Workflows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Transaction Characteristic</w:t>
            </w:r>
          </w:p>
        </w:tc>
        <w:tc>
          <w:tcPr/>
          <w:p>
            <w:pPr>
              <w:pStyle w:val="Compact"/>
              <w:jc w:val="left"/>
            </w:pPr>
            <w:r>
              <w:rPr>
                <w:b/>
                <w:bCs/>
              </w:rPr>
              <w:t xml:space="preserve">Approval Requirement</w:t>
            </w:r>
          </w:p>
        </w:tc>
      </w:tr>
      <w:tr>
        <w:tc>
          <w:tcPr/>
          <w:p>
            <w:pPr>
              <w:pStyle w:val="Compact"/>
              <w:jc w:val="left"/>
            </w:pPr>
            <w:r>
              <w:t xml:space="preserve">Standard, within limits</w:t>
            </w:r>
          </w:p>
        </w:tc>
        <w:tc>
          <w:tcPr/>
          <w:p>
            <w:pPr>
              <w:pStyle w:val="Compact"/>
              <w:jc w:val="left"/>
            </w:pPr>
            <w:r>
              <w:t xml:space="preserve">Trader + confirmation officer</w:t>
            </w:r>
          </w:p>
        </w:tc>
      </w:tr>
      <w:tr>
        <w:tc>
          <w:tcPr/>
          <w:p>
            <w:pPr>
              <w:pStyle w:val="Compact"/>
              <w:jc w:val="left"/>
            </w:pPr>
            <w:r>
              <w:t xml:space="preserve">Near limit (80–100%)</w:t>
            </w:r>
          </w:p>
        </w:tc>
        <w:tc>
          <w:tcPr/>
          <w:p>
            <w:pPr>
              <w:pStyle w:val="Compact"/>
              <w:jc w:val="left"/>
            </w:pPr>
            <w:r>
              <w:t xml:space="preserve">Additional risk manager approval</w:t>
            </w:r>
          </w:p>
        </w:tc>
      </w:tr>
      <w:tr>
        <w:tc>
          <w:tcPr/>
          <w:p>
            <w:pPr>
              <w:pStyle w:val="Compact"/>
              <w:jc w:val="left"/>
            </w:pPr>
            <w:r>
              <w:t xml:space="preserve">Limit breach (with override)</w:t>
            </w:r>
          </w:p>
        </w:tc>
        <w:tc>
          <w:tcPr/>
          <w:p>
            <w:pPr>
              <w:pStyle w:val="Compact"/>
              <w:jc w:val="left"/>
            </w:pPr>
            <w:r>
              <w:t xml:space="preserve">Senior management, documented justification</w:t>
            </w:r>
          </w:p>
        </w:tc>
      </w:tr>
      <w:tr>
        <w:tc>
          <w:tcPr/>
          <w:p>
            <w:pPr>
              <w:pStyle w:val="Compact"/>
              <w:jc w:val="left"/>
            </w:pPr>
            <w:r>
              <w:t xml:space="preserve">Non-standard terms</w:t>
            </w:r>
          </w:p>
        </w:tc>
        <w:tc>
          <w:tcPr/>
          <w:p>
            <w:pPr>
              <w:pStyle w:val="Compact"/>
              <w:jc w:val="left"/>
            </w:pPr>
            <w:r>
              <w:t xml:space="preserve">Product control, legal review</w:t>
            </w:r>
          </w:p>
        </w:tc>
      </w:tr>
      <w:tr>
        <w:tc>
          <w:tcPr/>
          <w:p>
            <w:pPr>
              <w:pStyle w:val="Compact"/>
              <w:jc w:val="left"/>
            </w:pPr>
            <w:r>
              <w:t xml:space="preserve">New counterparty</w:t>
            </w:r>
          </w:p>
        </w:tc>
        <w:tc>
          <w:tcPr/>
          <w:p>
            <w:pPr>
              <w:pStyle w:val="Compact"/>
              <w:jc w:val="left"/>
            </w:pPr>
            <w:r>
              <w:t xml:space="preserve">Compliance, credit approval</w:t>
            </w:r>
          </w:p>
        </w:tc>
      </w:tr>
    </w:tbl>
    <w:bookmarkEnd w:id="82"/>
    <w:bookmarkStart w:id="83" w:name="X759d24580eb96bc32c4312340f701c912907201"/>
    <w:p>
      <w:pPr>
        <w:pStyle w:val="4"/>
      </w:pPr>
      <w:r>
        <w:t xml:space="preserve">3.5.6 Regulatory Capital Adequacy Reporting (BOT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Type</w:t>
            </w:r>
          </w:p>
        </w:tc>
        <w:tc>
          <w:tcPr/>
          <w:p>
            <w:pPr>
              <w:pStyle w:val="Compact"/>
              <w:jc w:val="left"/>
            </w:pPr>
            <w:r>
              <w:rPr>
                <w:b/>
                <w:bCs/>
              </w:rPr>
              <w:t xml:space="preserve">Approach</w:t>
            </w:r>
          </w:p>
        </w:tc>
        <w:tc>
          <w:tcPr/>
          <w:p>
            <w:pPr>
              <w:pStyle w:val="Compact"/>
              <w:jc w:val="left"/>
            </w:pPr>
            <w:r>
              <w:rPr>
                <w:b/>
                <w:bCs/>
              </w:rPr>
              <w:t xml:space="preserve">System Support</w:t>
            </w:r>
          </w:p>
        </w:tc>
      </w:tr>
      <w:tr>
        <w:tc>
          <w:tcPr/>
          <w:p>
            <w:pPr>
              <w:pStyle w:val="Compact"/>
              <w:jc w:val="left"/>
            </w:pPr>
            <w:r>
              <w:t xml:space="preserve">Credit risk (standardized)</w:t>
            </w:r>
          </w:p>
        </w:tc>
        <w:tc>
          <w:tcPr/>
          <w:p>
            <w:pPr>
              <w:pStyle w:val="Compact"/>
              <w:jc w:val="left"/>
            </w:pPr>
            <w:r>
              <w:t xml:space="preserve">Risk weights by rating, collateral recognition</w:t>
            </w:r>
          </w:p>
        </w:tc>
        <w:tc>
          <w:tcPr/>
          <w:p>
            <w:pPr>
              <w:pStyle w:val="Compact"/>
              <w:jc w:val="left"/>
            </w:pPr>
            <w:r>
              <w:t xml:space="preserve">Automated RWA calculation, exposure aggregation</w:t>
            </w:r>
          </w:p>
        </w:tc>
      </w:tr>
      <w:tr>
        <w:tc>
          <w:tcPr/>
          <w:p>
            <w:pPr>
              <w:pStyle w:val="Compact"/>
              <w:jc w:val="left"/>
            </w:pPr>
            <w:r>
              <w:t xml:space="preserve">Market risk (trading book)</w:t>
            </w:r>
          </w:p>
        </w:tc>
        <w:tc>
          <w:tcPr/>
          <w:p>
            <w:pPr>
              <w:pStyle w:val="Compact"/>
              <w:jc w:val="left"/>
            </w:pPr>
            <w:r>
              <w:t xml:space="preserve">Standardized or internal model</w:t>
            </w:r>
          </w:p>
        </w:tc>
        <w:tc>
          <w:tcPr/>
          <w:p>
            <w:pPr>
              <w:pStyle w:val="Compact"/>
              <w:jc w:val="left"/>
            </w:pPr>
            <w:r>
              <w:t xml:space="preserve">VaR backtesting, model validation data</w:t>
            </w:r>
          </w:p>
        </w:tc>
      </w:tr>
      <w:tr>
        <w:tc>
          <w:tcPr/>
          <w:p>
            <w:pPr>
              <w:pStyle w:val="Compact"/>
              <w:jc w:val="left"/>
            </w:pPr>
            <w:r>
              <w:t xml:space="preserve">Operational risk</w:t>
            </w:r>
          </w:p>
        </w:tc>
        <w:tc>
          <w:tcPr/>
          <w:p>
            <w:pPr>
              <w:pStyle w:val="Compact"/>
              <w:jc w:val="left"/>
            </w:pPr>
            <w:r>
              <w:t xml:space="preserve">Basic indicator or standardized approach</w:t>
            </w:r>
          </w:p>
        </w:tc>
        <w:tc>
          <w:tcPr/>
          <w:p>
            <w:pPr>
              <w:pStyle w:val="Compact"/>
              <w:jc w:val="left"/>
            </w:pPr>
            <w:r>
              <w:t xml:space="preserve">Loss data collection, scenario analysis</w:t>
            </w:r>
          </w:p>
        </w:tc>
      </w:tr>
    </w:tbl>
    <w:bookmarkEnd w:id="83"/>
    <w:bookmarkEnd w:id="84"/>
    <w:bookmarkEnd w:id="85"/>
    <w:bookmarkStart w:id="102" w:name="Xb8d2955560ccf7250f1960fa0de91c23ba4a506"/>
    <w:p>
      <w:pPr>
        <w:pStyle w:val="2"/>
      </w:pPr>
      <w:r>
        <w:t xml:space="preserve">4. User Role Architecture and Access Control</w:t>
      </w:r>
    </w:p>
    <w:bookmarkStart w:id="89" w:name="front-office-functions"/>
    <w:p>
      <w:pPr>
        <w:pStyle w:val="3"/>
      </w:pPr>
      <w:r>
        <w:t xml:space="preserve">4.1 Front Office Functions</w:t>
      </w:r>
    </w:p>
    <w:bookmarkStart w:id="86" w:name="X44d779e91174a326703707fd43aa038ade518b9"/>
    <w:p>
      <w:pPr>
        <w:pStyle w:val="4"/>
      </w:pPr>
      <w:r>
        <w:t xml:space="preserve">4.1.1 Trader/Dealer Role (Trade Execution, Price Quoting)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Permission Category</w:t>
            </w:r>
          </w:p>
        </w:tc>
        <w:tc>
          <w:tcPr/>
          <w:p>
            <w:pPr>
              <w:pStyle w:val="Compact"/>
              <w:jc w:val="left"/>
            </w:pPr>
            <w:r>
              <w:rPr>
                <w:b/>
                <w:bCs/>
              </w:rPr>
              <w:t xml:space="preserve">Specific Capabilities</w:t>
            </w:r>
          </w:p>
        </w:tc>
        <w:tc>
          <w:tcPr/>
          <w:p>
            <w:pPr>
              <w:pStyle w:val="Compact"/>
              <w:jc w:val="left"/>
            </w:pPr>
            <w:r>
              <w:rPr>
                <w:b/>
                <w:bCs/>
              </w:rPr>
              <w:t xml:space="preserve">Explicit Restrictions</w:t>
            </w:r>
          </w:p>
        </w:tc>
      </w:tr>
      <w:tr>
        <w:tc>
          <w:tcPr/>
          <w:p>
            <w:pPr>
              <w:pStyle w:val="Compact"/>
              <w:jc w:val="left"/>
            </w:pPr>
            <w:r>
              <w:t xml:space="preserve">Market data</w:t>
            </w:r>
          </w:p>
        </w:tc>
        <w:tc>
          <w:tcPr/>
          <w:p>
            <w:pPr>
              <w:pStyle w:val="Compact"/>
              <w:jc w:val="left"/>
            </w:pPr>
            <w:r>
              <w:t xml:space="preserve">Real-time prices, yields, analytics, news</w:t>
            </w:r>
          </w:p>
        </w:tc>
        <w:tc>
          <w:tcPr/>
          <w:p>
            <w:pPr>
              <w:pStyle w:val="Compact"/>
              <w:jc w:val="left"/>
            </w:pPr>
            <w:r>
              <w:t xml:space="preserve">No historical data export beyond role needs</w:t>
            </w:r>
          </w:p>
        </w:tc>
      </w:tr>
      <w:tr>
        <w:tc>
          <w:tcPr/>
          <w:p>
            <w:pPr>
              <w:pStyle w:val="Compact"/>
              <w:jc w:val="left"/>
            </w:pPr>
            <w:r>
              <w:t xml:space="preserve">Trade capture</w:t>
            </w:r>
          </w:p>
        </w:tc>
        <w:tc>
          <w:tcPr/>
          <w:p>
            <w:pPr>
              <w:pStyle w:val="Compact"/>
              <w:jc w:val="left"/>
            </w:pPr>
            <w:r>
              <w:t xml:space="preserve">Deal entry, modification (pre-confirmation), cancellation</w:t>
            </w:r>
          </w:p>
        </w:tc>
        <w:tc>
          <w:tcPr/>
          <w:p>
            <w:pPr>
              <w:pStyle w:val="Compact"/>
              <w:jc w:val="left"/>
            </w:pPr>
            <w:r>
              <w:t xml:space="preserve">No post-confirmation modification; no settlement instruction change</w:t>
            </w:r>
          </w:p>
        </w:tc>
      </w:tr>
      <w:tr>
        <w:tc>
          <w:tcPr/>
          <w:p>
            <w:pPr>
              <w:pStyle w:val="Compact"/>
              <w:jc w:val="left"/>
            </w:pPr>
            <w:r>
              <w:t xml:space="preserve">Position inquiry</w:t>
            </w:r>
          </w:p>
        </w:tc>
        <w:tc>
          <w:tcPr/>
          <w:p>
            <w:pPr>
              <w:pStyle w:val="Compact"/>
              <w:jc w:val="left"/>
            </w:pPr>
            <w:r>
              <w:t xml:space="preserve">Real-time P&amp;L, exposure, limit utilization</w:t>
            </w:r>
          </w:p>
        </w:tc>
        <w:tc>
          <w:tcPr/>
          <w:p>
            <w:pPr>
              <w:pStyle w:val="Compact"/>
              <w:jc w:val="left"/>
            </w:pPr>
            <w:r>
              <w:t xml:space="preserve">No risk parameter modification</w:t>
            </w:r>
          </w:p>
        </w:tc>
      </w:tr>
      <w:tr>
        <w:tc>
          <w:tcPr/>
          <w:p>
            <w:pPr>
              <w:pStyle w:val="Compact"/>
              <w:jc w:val="left"/>
            </w:pPr>
            <w:r>
              <w:t xml:space="preserve">Counterparty interaction</w:t>
            </w:r>
          </w:p>
        </w:tc>
        <w:tc>
          <w:tcPr/>
          <w:p>
            <w:pPr>
              <w:pStyle w:val="Compact"/>
              <w:jc w:val="left"/>
            </w:pPr>
            <w:r>
              <w:t xml:space="preserve">Quote generation, negotiation logging</w:t>
            </w:r>
          </w:p>
        </w:tc>
        <w:tc>
          <w:tcPr/>
          <w:p>
            <w:pPr>
              <w:pStyle w:val="Compact"/>
              <w:jc w:val="left"/>
            </w:pPr>
            <w:r>
              <w:t xml:space="preserve">No master agreement terms modification</w:t>
            </w:r>
          </w:p>
        </w:tc>
      </w:tr>
    </w:tbl>
    <w:bookmarkEnd w:id="86"/>
    <w:bookmarkStart w:id="87" w:name="Xbc663fd1e0a1abb09a1c2e45cf3a924a65c2a19"/>
    <w:p>
      <w:pPr>
        <w:pStyle w:val="4"/>
      </w:pPr>
      <w:r>
        <w:t xml:space="preserve">4.1.2 Portfolio Manager Role (Investment Strategy, Position Monitoring)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Function</w:t>
            </w:r>
          </w:p>
        </w:tc>
        <w:tc>
          <w:tcPr/>
          <w:p>
            <w:pPr>
              <w:pStyle w:val="Compact"/>
              <w:jc w:val="left"/>
            </w:pPr>
            <w:r>
              <w:rPr>
                <w:b/>
                <w:bCs/>
              </w:rPr>
              <w:t xml:space="preserve">System Support</w:t>
            </w:r>
          </w:p>
        </w:tc>
      </w:tr>
      <w:tr>
        <w:tc>
          <w:tcPr/>
          <w:p>
            <w:pPr>
              <w:pStyle w:val="Compact"/>
              <w:jc w:val="left"/>
            </w:pPr>
            <w:r>
              <w:t xml:space="preserve">Strategic allocation</w:t>
            </w:r>
          </w:p>
        </w:tc>
        <w:tc>
          <w:tcPr/>
          <w:p>
            <w:pPr>
              <w:pStyle w:val="Compact"/>
              <w:jc w:val="left"/>
            </w:pPr>
            <w:r>
              <w:t xml:space="preserve">Benchmark selection, target setting, rebalancing analysis</w:t>
            </w:r>
          </w:p>
        </w:tc>
      </w:tr>
      <w:tr>
        <w:tc>
          <w:tcPr/>
          <w:p>
            <w:pPr>
              <w:pStyle w:val="Compact"/>
              <w:jc w:val="left"/>
            </w:pPr>
            <w:r>
              <w:t xml:space="preserve">Performance analysis</w:t>
            </w:r>
          </w:p>
        </w:tc>
        <w:tc>
          <w:tcPr/>
          <w:p>
            <w:pPr>
              <w:pStyle w:val="Compact"/>
              <w:jc w:val="left"/>
            </w:pPr>
            <w:r>
              <w:t xml:space="preserve">Attribution, peer comparison, trend identification</w:t>
            </w:r>
          </w:p>
        </w:tc>
      </w:tr>
      <w:tr>
        <w:tc>
          <w:tcPr/>
          <w:p>
            <w:pPr>
              <w:pStyle w:val="Compact"/>
              <w:jc w:val="left"/>
            </w:pPr>
            <w:r>
              <w:t xml:space="preserve">Scenario modeling</w:t>
            </w:r>
          </w:p>
        </w:tc>
        <w:tc>
          <w:tcPr/>
          <w:p>
            <w:pPr>
              <w:pStyle w:val="Compact"/>
              <w:jc w:val="left"/>
            </w:pPr>
            <w:r>
              <w:t xml:space="preserve">What-if analysis, stress testing, optimization</w:t>
            </w:r>
          </w:p>
        </w:tc>
      </w:tr>
      <w:tr>
        <w:tc>
          <w:tcPr/>
          <w:p>
            <w:pPr>
              <w:pStyle w:val="Compact"/>
              <w:jc w:val="left"/>
            </w:pPr>
            <w:r>
              <w:t xml:space="preserve">Reporting</w:t>
            </w:r>
          </w:p>
        </w:tc>
        <w:tc>
          <w:tcPr/>
          <w:p>
            <w:pPr>
              <w:pStyle w:val="Compact"/>
              <w:jc w:val="left"/>
            </w:pPr>
            <w:r>
              <w:t xml:space="preserve">Management dashboards, board presentations</w:t>
            </w:r>
          </w:p>
        </w:tc>
      </w:tr>
    </w:tbl>
    <w:bookmarkEnd w:id="87"/>
    <w:bookmarkStart w:id="88" w:name="X3f6caf159be0ad945bbe07c423c8b91921049cc"/>
    <w:p>
      <w:pPr>
        <w:pStyle w:val="4"/>
      </w:pPr>
      <w:r>
        <w:t xml:space="preserve">4.1.3 Market Access and Real-Time Data Permissions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Service</w:t>
            </w:r>
          </w:p>
        </w:tc>
        <w:tc>
          <w:tcPr/>
          <w:p>
            <w:pPr>
              <w:pStyle w:val="Compact"/>
              <w:jc w:val="left"/>
            </w:pPr>
            <w:r>
              <w:rPr>
                <w:b/>
                <w:bCs/>
              </w:rPr>
              <w:t xml:space="preserve">Typical Front Office Access</w:t>
            </w:r>
          </w:p>
        </w:tc>
        <w:tc>
          <w:tcPr/>
          <w:p>
            <w:pPr>
              <w:pStyle w:val="Compact"/>
              <w:jc w:val="left"/>
            </w:pPr>
            <w:r>
              <w:rPr>
                <w:b/>
                <w:bCs/>
              </w:rPr>
              <w:t xml:space="preserve">Cost Management</w:t>
            </w:r>
          </w:p>
        </w:tc>
      </w:tr>
      <w:tr>
        <w:tc>
          <w:tcPr/>
          <w:p>
            <w:pPr>
              <w:pStyle w:val="Compact"/>
              <w:jc w:val="left"/>
            </w:pPr>
            <w:r>
              <w:t xml:space="preserve">ThaiBMA</w:t>
            </w:r>
          </w:p>
        </w:tc>
        <w:tc>
          <w:tcPr/>
          <w:p>
            <w:pPr>
              <w:pStyle w:val="Compact"/>
              <w:jc w:val="left"/>
            </w:pPr>
            <w:r>
              <w:t xml:space="preserve">Full—reference prices, THOR, market stats</w:t>
            </w:r>
          </w:p>
        </w:tc>
        <w:tc>
          <w:tcPr/>
          <w:p>
            <w:pPr>
              <w:pStyle w:val="Compact"/>
              <w:jc w:val="left"/>
            </w:pPr>
            <w:r>
              <w:t xml:space="preserve">Core infrastructure, unlimited</w:t>
            </w:r>
          </w:p>
        </w:tc>
      </w:tr>
      <w:tr>
        <w:tc>
          <w:tcPr/>
          <w:p>
            <w:pPr>
              <w:pStyle w:val="Compact"/>
              <w:jc w:val="left"/>
            </w:pPr>
            <w:r>
              <w:t xml:space="preserve">Bloomberg Terminal</w:t>
            </w:r>
          </w:p>
        </w:tc>
        <w:tc>
          <w:tcPr/>
          <w:p>
            <w:pPr>
              <w:pStyle w:val="Compact"/>
              <w:jc w:val="left"/>
            </w:pPr>
            <w:r>
              <w:t xml:space="preserve">Trading, analytics, messaging</w:t>
            </w:r>
          </w:p>
        </w:tc>
        <w:tc>
          <w:tcPr/>
          <w:p>
            <w:pPr>
              <w:pStyle w:val="Compact"/>
              <w:jc w:val="left"/>
            </w:pPr>
            <w:r>
              <w:t xml:space="preserve">Limited licenses, shared if needed</w:t>
            </w:r>
          </w:p>
        </w:tc>
      </w:tr>
      <w:tr>
        <w:tc>
          <w:tcPr/>
          <w:p>
            <w:pPr>
              <w:pStyle w:val="Compact"/>
              <w:jc w:val="left"/>
            </w:pPr>
            <w:r>
              <w:t xml:space="preserve">Reuters Eikon</w:t>
            </w:r>
          </w:p>
        </w:tc>
        <w:tc>
          <w:tcPr/>
          <w:p>
            <w:pPr>
              <w:pStyle w:val="Compact"/>
              <w:jc w:val="left"/>
            </w:pPr>
            <w:r>
              <w:t xml:space="preserve">Alternative/supplementary</w:t>
            </w:r>
          </w:p>
        </w:tc>
        <w:tc>
          <w:tcPr/>
          <w:p>
            <w:pPr>
              <w:pStyle w:val="Compact"/>
              <w:jc w:val="left"/>
            </w:pPr>
            <w:r>
              <w:t xml:space="preserve">Selective based on trading focus</w:t>
            </w:r>
          </w:p>
        </w:tc>
      </w:tr>
      <w:tr>
        <w:tc>
          <w:tcPr/>
          <w:p>
            <w:pPr>
              <w:pStyle w:val="Compact"/>
              <w:jc w:val="left"/>
            </w:pPr>
            <w:r>
              <w:t xml:space="preserve">Market data feeds</w:t>
            </w:r>
          </w:p>
        </w:tc>
        <w:tc>
          <w:tcPr/>
          <w:p>
            <w:pPr>
              <w:pStyle w:val="Compact"/>
              <w:jc w:val="left"/>
            </w:pPr>
            <w:r>
              <w:t xml:space="preserve">Real-time prices for trading systems</w:t>
            </w:r>
          </w:p>
        </w:tc>
        <w:tc>
          <w:tcPr/>
          <w:p>
            <w:pPr>
              <w:pStyle w:val="Compact"/>
              <w:jc w:val="left"/>
            </w:pPr>
            <w:r>
              <w:t xml:space="preserve">Exchange fees, managed by usage</w:t>
            </w:r>
          </w:p>
        </w:tc>
      </w:tr>
    </w:tbl>
    <w:bookmarkEnd w:id="88"/>
    <w:bookmarkEnd w:id="89"/>
    <w:bookmarkStart w:id="93" w:name="middle-office-functions"/>
    <w:p>
      <w:pPr>
        <w:pStyle w:val="3"/>
      </w:pPr>
      <w:r>
        <w:t xml:space="preserve">4.2 Middle Office Functions</w:t>
      </w:r>
    </w:p>
    <w:bookmarkStart w:id="90" w:name="X537c650a619252fc8532cdb03f3c87b39d06114"/>
    <w:p>
      <w:pPr>
        <w:pStyle w:val="4"/>
      </w:pPr>
      <w:r>
        <w:t xml:space="preserve">4.2.1 Risk Manager Role (Limit Setting, Risk Monitoring, VaR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Core Responsibility</w:t>
            </w:r>
          </w:p>
        </w:tc>
        <w:tc>
          <w:tcPr/>
          <w:p>
            <w:pPr>
              <w:pStyle w:val="Compact"/>
              <w:jc w:val="left"/>
            </w:pPr>
            <w:r>
              <w:rPr>
                <w:b/>
                <w:bCs/>
              </w:rPr>
              <w:t xml:space="preserve">System Capability Required</w:t>
            </w:r>
          </w:p>
        </w:tc>
      </w:tr>
      <w:tr>
        <w:tc>
          <w:tcPr/>
          <w:p>
            <w:pPr>
              <w:pStyle w:val="Compact"/>
              <w:jc w:val="left"/>
            </w:pPr>
            <w:r>
              <w:t xml:space="preserve">Limit framework maintenance</w:t>
            </w:r>
          </w:p>
        </w:tc>
        <w:tc>
          <w:tcPr/>
          <w:p>
            <w:pPr>
              <w:pStyle w:val="Compact"/>
              <w:jc w:val="left"/>
            </w:pPr>
            <w:r>
              <w:t xml:space="preserve">Parameter configuration, hierarchy management, approval workflows</w:t>
            </w:r>
          </w:p>
        </w:tc>
      </w:tr>
      <w:tr>
        <w:tc>
          <w:tcPr/>
          <w:p>
            <w:pPr>
              <w:pStyle w:val="Compact"/>
              <w:jc w:val="left"/>
            </w:pPr>
            <w:r>
              <w:t xml:space="preserve">Real-time monitoring</w:t>
            </w:r>
          </w:p>
        </w:tc>
        <w:tc>
          <w:tcPr/>
          <w:p>
            <w:pPr>
              <w:pStyle w:val="Compact"/>
              <w:jc w:val="left"/>
            </w:pPr>
            <w:r>
              <w:t xml:space="preserve">Dashboards, alerts, exception queues</w:t>
            </w:r>
          </w:p>
        </w:tc>
      </w:tr>
      <w:tr>
        <w:tc>
          <w:tcPr/>
          <w:p>
            <w:pPr>
              <w:pStyle w:val="Compact"/>
              <w:jc w:val="left"/>
            </w:pPr>
            <w:r>
              <w:t xml:space="preserve">VaR/model operation</w:t>
            </w:r>
          </w:p>
        </w:tc>
        <w:tc>
          <w:tcPr/>
          <w:p>
            <w:pPr>
              <w:pStyle w:val="Compact"/>
              <w:jc w:val="left"/>
            </w:pPr>
            <w:r>
              <w:t xml:space="preserve">Model execution, backtesting, validation support</w:t>
            </w:r>
          </w:p>
        </w:tc>
      </w:tr>
      <w:tr>
        <w:tc>
          <w:tcPr/>
          <w:p>
            <w:pPr>
              <w:pStyle w:val="Compact"/>
              <w:jc w:val="left"/>
            </w:pPr>
            <w:r>
              <w:t xml:space="preserve">Stress testing</w:t>
            </w:r>
          </w:p>
        </w:tc>
        <w:tc>
          <w:tcPr/>
          <w:p>
            <w:pPr>
              <w:pStyle w:val="Compact"/>
              <w:jc w:val="left"/>
            </w:pPr>
            <w:r>
              <w:t xml:space="preserve">Scenario design, execution, reporting</w:t>
            </w:r>
          </w:p>
        </w:tc>
      </w:tr>
      <w:tr>
        <w:tc>
          <w:tcPr/>
          <w:p>
            <w:pPr>
              <w:pStyle w:val="Compact"/>
              <w:jc w:val="left"/>
            </w:pPr>
            <w:r>
              <w:t xml:space="preserve">Regulatory capital</w:t>
            </w:r>
          </w:p>
        </w:tc>
        <w:tc>
          <w:tcPr/>
          <w:p>
            <w:pPr>
              <w:pStyle w:val="Compact"/>
              <w:jc w:val="left"/>
            </w:pPr>
            <w:r>
              <w:t xml:space="preserve">RWA calculation, ICAAP support</w:t>
            </w:r>
          </w:p>
        </w:tc>
      </w:tr>
    </w:tbl>
    <w:bookmarkEnd w:id="90"/>
    <w:bookmarkStart w:id="91" w:name="X4e899ad7662635cb6bbda0e72f50feb7255889a"/>
    <w:p>
      <w:pPr>
        <w:pStyle w:val="4"/>
      </w:pPr>
      <w:r>
        <w:t xml:space="preserve">4.2.2 Compliance Officer Role (Regulatory Reporting, Policy Enforcement)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Function</w:t>
            </w:r>
          </w:p>
        </w:tc>
        <w:tc>
          <w:tcPr/>
          <w:p>
            <w:pPr>
              <w:pStyle w:val="Compact"/>
              <w:jc w:val="left"/>
            </w:pPr>
            <w:r>
              <w:rPr>
                <w:b/>
                <w:bCs/>
              </w:rPr>
              <w:t xml:space="preserve">System Support</w:t>
            </w:r>
          </w:p>
        </w:tc>
      </w:tr>
      <w:tr>
        <w:tc>
          <w:tcPr/>
          <w:p>
            <w:pPr>
              <w:pStyle w:val="Compact"/>
              <w:jc w:val="left"/>
            </w:pPr>
            <w:r>
              <w:t xml:space="preserve">Regulatory reporting</w:t>
            </w:r>
          </w:p>
        </w:tc>
        <w:tc>
          <w:tcPr/>
          <w:p>
            <w:pPr>
              <w:pStyle w:val="Compact"/>
              <w:jc w:val="left"/>
            </w:pPr>
            <w:r>
              <w:t xml:space="preserve">Automated generation, validation, submission tracking</w:t>
            </w:r>
          </w:p>
        </w:tc>
      </w:tr>
      <w:tr>
        <w:tc>
          <w:tcPr/>
          <w:p>
            <w:pPr>
              <w:pStyle w:val="Compact"/>
              <w:jc w:val="left"/>
            </w:pPr>
            <w:r>
              <w:t xml:space="preserve">Policy rule engine</w:t>
            </w:r>
          </w:p>
        </w:tc>
        <w:tc>
          <w:tcPr/>
          <w:p>
            <w:pPr>
              <w:pStyle w:val="Compact"/>
              <w:jc w:val="left"/>
            </w:pPr>
            <w:r>
              <w:t xml:space="preserve">Configurable controls, automated checking</w:t>
            </w:r>
          </w:p>
        </w:tc>
      </w:tr>
      <w:tr>
        <w:tc>
          <w:tcPr/>
          <w:p>
            <w:pPr>
              <w:pStyle w:val="Compact"/>
              <w:jc w:val="left"/>
            </w:pPr>
            <w:r>
              <w:t xml:space="preserve">Monitoring surveillance</w:t>
            </w:r>
          </w:p>
        </w:tc>
        <w:tc>
          <w:tcPr/>
          <w:p>
            <w:pPr>
              <w:pStyle w:val="Compact"/>
              <w:jc w:val="left"/>
            </w:pPr>
            <w:r>
              <w:t xml:space="preserve">Pattern detection, unusual activity identification</w:t>
            </w:r>
          </w:p>
        </w:tc>
      </w:tr>
      <w:tr>
        <w:tc>
          <w:tcPr/>
          <w:p>
            <w:pPr>
              <w:pStyle w:val="Compact"/>
              <w:jc w:val="left"/>
            </w:pPr>
            <w:r>
              <w:t xml:space="preserve">Examination support</w:t>
            </w:r>
          </w:p>
        </w:tc>
        <w:tc>
          <w:tcPr/>
          <w:p>
            <w:pPr>
              <w:pStyle w:val="Compact"/>
              <w:jc w:val="left"/>
            </w:pPr>
            <w:r>
              <w:t xml:space="preserve">Audit trail retrieval, documentation preparation</w:t>
            </w:r>
          </w:p>
        </w:tc>
      </w:tr>
    </w:tbl>
    <w:bookmarkEnd w:id="91"/>
    <w:bookmarkStart w:id="92" w:name="X39abd758f3f2c9815dcf7e18a1239a7ccf9e688"/>
    <w:p>
      <w:pPr>
        <w:pStyle w:val="4"/>
      </w:pPr>
      <w:r>
        <w:t xml:space="preserve">4.2.3 Product Control Role (P&amp;L Attribution, Independent Price 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Activity</w:t>
            </w:r>
          </w:p>
        </w:tc>
        <w:tc>
          <w:tcPr/>
          <w:p>
            <w:pPr>
              <w:pStyle w:val="Compact"/>
              <w:jc w:val="left"/>
            </w:pPr>
            <w:r>
              <w:rPr>
                <w:b/>
                <w:bCs/>
              </w:rPr>
              <w:t xml:space="preserve">Methodology</w:t>
            </w:r>
          </w:p>
        </w:tc>
        <w:tc>
          <w:tcPr/>
          <w:p>
            <w:pPr>
              <w:pStyle w:val="Compact"/>
              <w:jc w:val="left"/>
            </w:pPr>
            <w:r>
              <w:rPr>
                <w:b/>
                <w:bCs/>
              </w:rPr>
              <w:t xml:space="preserve">System Implementation</w:t>
            </w:r>
          </w:p>
        </w:tc>
      </w:tr>
      <w:tr>
        <w:tc>
          <w:tcPr/>
          <w:p>
            <w:pPr>
              <w:pStyle w:val="Compact"/>
              <w:jc w:val="left"/>
            </w:pPr>
            <w:r>
              <w:t xml:space="preserve">Daily P&amp;L calculation</w:t>
            </w:r>
          </w:p>
        </w:tc>
        <w:tc>
          <w:tcPr/>
          <w:p>
            <w:pPr>
              <w:pStyle w:val="Compact"/>
              <w:jc w:val="left"/>
            </w:pPr>
            <w:r>
              <w:t xml:space="preserve">Trade-based, position-based reconciliation</w:t>
            </w:r>
          </w:p>
        </w:tc>
        <w:tc>
          <w:tcPr/>
          <w:p>
            <w:pPr>
              <w:pStyle w:val="Compact"/>
              <w:jc w:val="left"/>
            </w:pPr>
            <w:r>
              <w:t xml:space="preserve">Automated with exception investigation</w:t>
            </w:r>
          </w:p>
        </w:tc>
      </w:tr>
      <w:tr>
        <w:tc>
          <w:tcPr/>
          <w:p>
            <w:pPr>
              <w:pStyle w:val="Compact"/>
              <w:jc w:val="left"/>
            </w:pPr>
            <w:r>
              <w:t xml:space="preserve">Independent price verification</w:t>
            </w:r>
          </w:p>
        </w:tc>
        <w:tc>
          <w:tcPr/>
          <w:p>
            <w:pPr>
              <w:pStyle w:val="Compact"/>
              <w:jc w:val="left"/>
            </w:pPr>
            <w:r>
              <w:t xml:space="preserve">Comparison to ThaiBMA, broker quotes, models</w:t>
            </w:r>
          </w:p>
        </w:tc>
        <w:tc>
          <w:tcPr/>
          <w:p>
            <w:pPr>
              <w:pStyle w:val="Compact"/>
              <w:jc w:val="left"/>
            </w:pPr>
            <w:r>
              <w:t xml:space="preserve">Threshold-based escalation, documentation</w:t>
            </w:r>
          </w:p>
        </w:tc>
      </w:tr>
      <w:tr>
        <w:tc>
          <w:tcPr/>
          <w:p>
            <w:pPr>
              <w:pStyle w:val="Compact"/>
              <w:jc w:val="left"/>
            </w:pPr>
            <w:r>
              <w:t xml:space="preserve">Reserve calculation</w:t>
            </w:r>
          </w:p>
        </w:tc>
        <w:tc>
          <w:tcPr/>
          <w:p>
            <w:pPr>
              <w:pStyle w:val="Compact"/>
              <w:jc w:val="left"/>
            </w:pPr>
            <w:r>
              <w:t xml:space="preserve">Prudent valuation adjustments</w:t>
            </w:r>
          </w:p>
        </w:tc>
        <w:tc>
          <w:tcPr/>
          <w:p>
            <w:pPr>
              <w:pStyle w:val="Compact"/>
              <w:jc w:val="left"/>
            </w:pPr>
            <w:r>
              <w:t xml:space="preserve">Model-based with management judgment</w:t>
            </w:r>
          </w:p>
        </w:tc>
      </w:tr>
      <w:tr>
        <w:tc>
          <w:tcPr/>
          <w:p>
            <w:pPr>
              <w:pStyle w:val="Compact"/>
              <w:jc w:val="left"/>
            </w:pPr>
            <w:r>
              <w:t xml:space="preserve">Attribution analysis</w:t>
            </w:r>
          </w:p>
        </w:tc>
        <w:tc>
          <w:tcPr/>
          <w:p>
            <w:pPr>
              <w:pStyle w:val="Compact"/>
              <w:jc w:val="left"/>
            </w:pPr>
            <w:r>
              <w:t xml:space="preserve">Return decomposition by risk factor</w:t>
            </w:r>
          </w:p>
        </w:tc>
        <w:tc>
          <w:tcPr/>
          <w:p>
            <w:pPr>
              <w:pStyle w:val="Compact"/>
              <w:jc w:val="left"/>
            </w:pPr>
            <w:r>
              <w:t xml:space="preserve">Automated reporting, drill-down capability</w:t>
            </w:r>
          </w:p>
        </w:tc>
      </w:tr>
    </w:tbl>
    <w:bookmarkEnd w:id="92"/>
    <w:bookmarkEnd w:id="93"/>
    <w:bookmarkStart w:id="97" w:name="back-office-functions"/>
    <w:p>
      <w:pPr>
        <w:pStyle w:val="3"/>
      </w:pPr>
      <w:r>
        <w:t xml:space="preserve">4.3 Back Office Functions</w:t>
      </w:r>
    </w:p>
    <w:bookmarkStart w:id="94" w:name="X6cab41b992000cec27e7097c5726e0f7614790f"/>
    <w:p>
      <w:pPr>
        <w:pStyle w:val="4"/>
      </w:pPr>
      <w:r>
        <w:t xml:space="preserve">4.3.1 Settlement Officer Role (Trade Confirmation, Settlement Instruction Generation)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Process Stage</w:t>
            </w:r>
          </w:p>
        </w:tc>
        <w:tc>
          <w:tcPr/>
          <w:p>
            <w:pPr>
              <w:pStyle w:val="Compact"/>
              <w:jc w:val="left"/>
            </w:pPr>
            <w:r>
              <w:rPr>
                <w:b/>
                <w:bCs/>
              </w:rPr>
              <w:t xml:space="preserve">System Functionality</w:t>
            </w:r>
          </w:p>
        </w:tc>
        <w:tc>
          <w:tcPr/>
          <w:p>
            <w:pPr>
              <w:pStyle w:val="Compact"/>
              <w:jc w:val="left"/>
            </w:pPr>
            <w:r>
              <w:rPr>
                <w:b/>
                <w:bCs/>
              </w:rPr>
              <w:t xml:space="preserve">Key Output</w:t>
            </w:r>
          </w:p>
        </w:tc>
      </w:tr>
      <w:tr>
        <w:tc>
          <w:tcPr/>
          <w:p>
            <w:pPr>
              <w:pStyle w:val="Compact"/>
              <w:jc w:val="left"/>
            </w:pPr>
            <w:r>
              <w:t xml:space="preserve">Trade confirmation</w:t>
            </w:r>
          </w:p>
        </w:tc>
        <w:tc>
          <w:tcPr/>
          <w:p>
            <w:pPr>
              <w:pStyle w:val="Compact"/>
              <w:jc w:val="left"/>
            </w:pPr>
            <w:r>
              <w:t xml:space="preserve">Matching with counterparty, discrepancy resolution</w:t>
            </w:r>
          </w:p>
        </w:tc>
        <w:tc>
          <w:tcPr/>
          <w:p>
            <w:pPr>
              <w:pStyle w:val="Compact"/>
              <w:jc w:val="left"/>
            </w:pPr>
            <w:r>
              <w:t xml:space="preserve">Matched confirmation record</w:t>
            </w:r>
          </w:p>
        </w:tc>
      </w:tr>
      <w:tr>
        <w:tc>
          <w:tcPr/>
          <w:p>
            <w:pPr>
              <w:pStyle w:val="Compact"/>
              <w:jc w:val="left"/>
            </w:pPr>
            <w:r>
              <w:t xml:space="preserve">Instruction generation</w:t>
            </w:r>
          </w:p>
        </w:tc>
        <w:tc>
          <w:tcPr/>
          <w:p>
            <w:pPr>
              <w:pStyle w:val="Compact"/>
              <w:jc w:val="left"/>
            </w:pPr>
            <w:r>
              <w:t xml:space="preserve">TSD/BAHTNET message creation, validation</w:t>
            </w:r>
          </w:p>
        </w:tc>
        <w:tc>
          <w:tcPr/>
          <w:p>
            <w:pPr>
              <w:pStyle w:val="Compact"/>
              <w:jc w:val="left"/>
            </w:pPr>
            <w:r>
              <w:t xml:space="preserve">Formatted, authorized instructions</w:t>
            </w:r>
          </w:p>
        </w:tc>
      </w:tr>
      <w:tr>
        <w:tc>
          <w:tcPr/>
          <w:p>
            <w:pPr>
              <w:pStyle w:val="Compact"/>
              <w:jc w:val="left"/>
            </w:pPr>
            <w:r>
              <w:t xml:space="preserve">Transmission</w:t>
            </w:r>
          </w:p>
        </w:tc>
        <w:tc>
          <w:tcPr/>
          <w:p>
            <w:pPr>
              <w:pStyle w:val="Compact"/>
              <w:jc w:val="left"/>
            </w:pPr>
            <w:r>
              <w:t xml:space="preserve">Secure sending, acknowledgment monitoring</w:t>
            </w:r>
          </w:p>
        </w:tc>
        <w:tc>
          <w:tcPr/>
          <w:p>
            <w:pPr>
              <w:pStyle w:val="Compact"/>
              <w:jc w:val="left"/>
            </w:pPr>
            <w:r>
              <w:t xml:space="preserve">Sent status, confirmation receipt</w:t>
            </w:r>
          </w:p>
        </w:tc>
      </w:tr>
      <w:tr>
        <w:tc>
          <w:tcPr/>
          <w:p>
            <w:pPr>
              <w:pStyle w:val="Compact"/>
              <w:jc w:val="left"/>
            </w:pPr>
            <w:r>
              <w:t xml:space="preserve">Settlement monitoring</w:t>
            </w:r>
          </w:p>
        </w:tc>
        <w:tc>
          <w:tcPr/>
          <w:p>
            <w:pPr>
              <w:pStyle w:val="Compact"/>
              <w:jc w:val="left"/>
            </w:pPr>
            <w:r>
              <w:t xml:space="preserve">Status tracking, fail identification, resolution</w:t>
            </w:r>
          </w:p>
        </w:tc>
        <w:tc>
          <w:tcPr/>
          <w:p>
            <w:pPr>
              <w:pStyle w:val="Compact"/>
              <w:jc w:val="left"/>
            </w:pPr>
            <w:r>
              <w:t xml:space="preserve">Completed settlement, or exception queue</w:t>
            </w:r>
          </w:p>
        </w:tc>
      </w:tr>
    </w:tbl>
    <w:bookmarkEnd w:id="94"/>
    <w:bookmarkStart w:id="95" w:name="Xd335740820fc02928f91740e9ffd0668008fc3a"/>
    <w:p>
      <w:pPr>
        <w:pStyle w:val="4"/>
      </w:pPr>
      <w:r>
        <w:t xml:space="preserve">4.3.2 Accounting Officer Role (Journal Entry Review,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Responsibility</w:t>
            </w:r>
          </w:p>
        </w:tc>
        <w:tc>
          <w:tcPr/>
          <w:p>
            <w:pPr>
              <w:pStyle w:val="Compact"/>
              <w:jc w:val="left"/>
            </w:pPr>
            <w:r>
              <w:rPr>
                <w:b/>
                <w:bCs/>
              </w:rPr>
              <w:t xml:space="preserve">System Support</w:t>
            </w:r>
          </w:p>
        </w:tc>
      </w:tr>
      <w:tr>
        <w:tc>
          <w:tcPr/>
          <w:p>
            <w:pPr>
              <w:pStyle w:val="Compact"/>
              <w:jc w:val="left"/>
            </w:pPr>
            <w:r>
              <w:t xml:space="preserve">Entry review</w:t>
            </w:r>
          </w:p>
        </w:tc>
        <w:tc>
          <w:tcPr/>
          <w:p>
            <w:pPr>
              <w:pStyle w:val="Compact"/>
              <w:jc w:val="left"/>
            </w:pPr>
            <w:r>
              <w:t xml:space="preserve">Automated generation, manual approval workflow, exception handling</w:t>
            </w:r>
          </w:p>
        </w:tc>
      </w:tr>
      <w:tr>
        <w:tc>
          <w:tcPr/>
          <w:p>
            <w:pPr>
              <w:pStyle w:val="Compact"/>
              <w:jc w:val="left"/>
            </w:pPr>
            <w:r>
              <w:t xml:space="preserve">GL posting</w:t>
            </w:r>
          </w:p>
        </w:tc>
        <w:tc>
          <w:tcPr/>
          <w:p>
            <w:pPr>
              <w:pStyle w:val="Compact"/>
              <w:jc w:val="left"/>
            </w:pPr>
            <w:r>
              <w:t xml:space="preserve">Controlled interface, validation, error correction</w:t>
            </w:r>
          </w:p>
        </w:tc>
      </w:tr>
      <w:tr>
        <w:tc>
          <w:tcPr/>
          <w:p>
            <w:pPr>
              <w:pStyle w:val="Compact"/>
              <w:jc w:val="left"/>
            </w:pPr>
            <w:r>
              <w:t xml:space="preserve">Reconciliation</w:t>
            </w:r>
          </w:p>
        </w:tc>
        <w:tc>
          <w:tcPr/>
          <w:p>
            <w:pPr>
              <w:pStyle w:val="Compact"/>
              <w:jc w:val="left"/>
            </w:pPr>
            <w:r>
              <w:t xml:space="preserve">Nostro, depot, intersystem reconciliation with automated matching</w:t>
            </w:r>
          </w:p>
        </w:tc>
      </w:tr>
      <w:tr>
        <w:tc>
          <w:tcPr/>
          <w:p>
            <w:pPr>
              <w:pStyle w:val="Compact"/>
              <w:jc w:val="left"/>
            </w:pPr>
            <w:r>
              <w:t xml:space="preserve">Period-end close</w:t>
            </w:r>
          </w:p>
        </w:tc>
        <w:tc>
          <w:tcPr/>
          <w:p>
            <w:pPr>
              <w:pStyle w:val="Compact"/>
              <w:jc w:val="left"/>
            </w:pPr>
            <w:r>
              <w:t xml:space="preserve">Accrual processing, valuation, reporting preparation</w:t>
            </w:r>
          </w:p>
        </w:tc>
      </w:tr>
    </w:tbl>
    <w:bookmarkEnd w:id="95"/>
    <w:bookmarkStart w:id="96" w:name="X04f87ada94d69d9e11c1b4a82d9f2d15400f396"/>
    <w:p>
      <w:pPr>
        <w:pStyle w:val="4"/>
      </w:pPr>
      <w:r>
        <w:t xml:space="preserve">4.3.3 Operations Manager Role (Exception Handling, Failed Trade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Management Function</w:t>
            </w:r>
          </w:p>
        </w:tc>
        <w:tc>
          <w:tcPr/>
          <w:p>
            <w:pPr>
              <w:pStyle w:val="Compact"/>
              <w:jc w:val="left"/>
            </w:pPr>
            <w:r>
              <w:rPr>
                <w:b/>
                <w:bCs/>
              </w:rPr>
              <w:t xml:space="preserve">System Tool</w:t>
            </w:r>
          </w:p>
        </w:tc>
      </w:tr>
      <w:tr>
        <w:tc>
          <w:tcPr/>
          <w:p>
            <w:pPr>
              <w:pStyle w:val="Compact"/>
              <w:jc w:val="left"/>
            </w:pPr>
            <w:r>
              <w:t xml:space="preserve">Exception queue oversight</w:t>
            </w:r>
          </w:p>
        </w:tc>
        <w:tc>
          <w:tcPr/>
          <w:p>
            <w:pPr>
              <w:pStyle w:val="Compact"/>
              <w:jc w:val="left"/>
            </w:pPr>
            <w:r>
              <w:t xml:space="preserve">Dashboard with aging, categorization, assignment</w:t>
            </w:r>
          </w:p>
        </w:tc>
      </w:tr>
      <w:tr>
        <w:tc>
          <w:tcPr/>
          <w:p>
            <w:pPr>
              <w:pStyle w:val="Compact"/>
              <w:jc w:val="left"/>
            </w:pPr>
            <w:r>
              <w:t xml:space="preserve">Resource allocation</w:t>
            </w:r>
          </w:p>
        </w:tc>
        <w:tc>
          <w:tcPr/>
          <w:p>
            <w:pPr>
              <w:pStyle w:val="Compact"/>
              <w:jc w:val="left"/>
            </w:pPr>
            <w:r>
              <w:t xml:space="preserve">Workload balancing, priority setting</w:t>
            </w:r>
          </w:p>
        </w:tc>
      </w:tr>
      <w:tr>
        <w:tc>
          <w:tcPr/>
          <w:p>
            <w:pPr>
              <w:pStyle w:val="Compact"/>
              <w:jc w:val="left"/>
            </w:pPr>
            <w:r>
              <w:t xml:space="preserve">Process improvement</w:t>
            </w:r>
          </w:p>
        </w:tc>
        <w:tc>
          <w:tcPr/>
          <w:p>
            <w:pPr>
              <w:pStyle w:val="Compact"/>
              <w:jc w:val="left"/>
            </w:pPr>
            <w:r>
              <w:t xml:space="preserve">Metrics analysis, trend identification, root cause tracking</w:t>
            </w:r>
          </w:p>
        </w:tc>
      </w:tr>
      <w:tr>
        <w:tc>
          <w:tcPr/>
          <w:p>
            <w:pPr>
              <w:pStyle w:val="Compact"/>
              <w:jc w:val="left"/>
            </w:pPr>
            <w:r>
              <w:t xml:space="preserve">Escalation management</w:t>
            </w:r>
          </w:p>
        </w:tc>
        <w:tc>
          <w:tcPr/>
          <w:p>
            <w:pPr>
              <w:pStyle w:val="Compact"/>
              <w:jc w:val="left"/>
            </w:pPr>
            <w:r>
              <w:t xml:space="preserve">Defined thresholds, automatic routing, senior notification</w:t>
            </w:r>
          </w:p>
        </w:tc>
      </w:tr>
    </w:tbl>
    <w:bookmarkEnd w:id="96"/>
    <w:bookmarkEnd w:id="97"/>
    <w:bookmarkStart w:id="101" w:name="it-administration-functions"/>
    <w:p>
      <w:pPr>
        <w:pStyle w:val="3"/>
      </w:pPr>
      <w:r>
        <w:t xml:space="preserve">4.4 IT Administration Functions</w:t>
      </w:r>
    </w:p>
    <w:bookmarkStart w:id="98" w:name="X4f39614266c50943b975b1027411486cc5695d5"/>
    <w:p>
      <w:pPr>
        <w:pStyle w:val="4"/>
      </w:pPr>
      <w:r>
        <w:t xml:space="preserve">4.4.1 System Administrator Role (User Provisioning, Security Configuration)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Administrative Function</w:t>
            </w:r>
          </w:p>
        </w:tc>
        <w:tc>
          <w:tcPr/>
          <w:p>
            <w:pPr>
              <w:pStyle w:val="Compact"/>
              <w:jc w:val="left"/>
            </w:pPr>
            <w:r>
              <w:rPr>
                <w:b/>
                <w:bCs/>
              </w:rPr>
              <w:t xml:space="preserve">Control Safeguard</w:t>
            </w:r>
          </w:p>
        </w:tc>
      </w:tr>
      <w:tr>
        <w:tc>
          <w:tcPr/>
          <w:p>
            <w:pPr>
              <w:pStyle w:val="Compact"/>
              <w:jc w:val="left"/>
            </w:pPr>
            <w:r>
              <w:t xml:space="preserve">User account lifecycle</w:t>
            </w:r>
          </w:p>
        </w:tc>
        <w:tc>
          <w:tcPr/>
          <w:p>
            <w:pPr>
              <w:pStyle w:val="Compact"/>
              <w:jc w:val="left"/>
            </w:pPr>
            <w:r>
              <w:t xml:space="preserve">Dual authorization for creation, modification, deletion</w:t>
            </w:r>
          </w:p>
        </w:tc>
      </w:tr>
      <w:tr>
        <w:tc>
          <w:tcPr/>
          <w:p>
            <w:pPr>
              <w:pStyle w:val="Compact"/>
              <w:jc w:val="left"/>
            </w:pPr>
            <w:r>
              <w:t xml:space="preserve">Role assignment</w:t>
            </w:r>
          </w:p>
        </w:tc>
        <w:tc>
          <w:tcPr/>
          <w:p>
            <w:pPr>
              <w:pStyle w:val="Compact"/>
              <w:jc w:val="left"/>
            </w:pPr>
            <w:r>
              <w:t xml:space="preserve">Segregation of duties validation, periodic recertification</w:t>
            </w:r>
          </w:p>
        </w:tc>
      </w:tr>
      <w:tr>
        <w:tc>
          <w:tcPr/>
          <w:p>
            <w:pPr>
              <w:pStyle w:val="Compact"/>
              <w:jc w:val="left"/>
            </w:pPr>
            <w:r>
              <w:t xml:space="preserve">Password policy</w:t>
            </w:r>
          </w:p>
        </w:tc>
        <w:tc>
          <w:tcPr/>
          <w:p>
            <w:pPr>
              <w:pStyle w:val="Compact"/>
              <w:jc w:val="left"/>
            </w:pPr>
            <w:r>
              <w:t xml:space="preserve">Complexity, rotation, lockout configuration</w:t>
            </w:r>
          </w:p>
        </w:tc>
      </w:tr>
      <w:tr>
        <w:tc>
          <w:tcPr/>
          <w:p>
            <w:pPr>
              <w:pStyle w:val="Compact"/>
              <w:jc w:val="left"/>
            </w:pPr>
            <w:r>
              <w:t xml:space="preserve">Security monitoring</w:t>
            </w:r>
          </w:p>
        </w:tc>
        <w:tc>
          <w:tcPr/>
          <w:p>
            <w:pPr>
              <w:pStyle w:val="Compact"/>
              <w:jc w:val="left"/>
            </w:pPr>
            <w:r>
              <w:t xml:space="preserve">Access logging, anomaly detection, incident response</w:t>
            </w:r>
          </w:p>
        </w:tc>
      </w:tr>
    </w:tbl>
    <w:bookmarkEnd w:id="98"/>
    <w:bookmarkStart w:id="99" w:name="X098c0fd486a1d68bef2b4e1e81b4ff5beece352"/>
    <w:p>
      <w:pPr>
        <w:pStyle w:val="4"/>
      </w:pPr>
      <w:r>
        <w:t xml:space="preserve">4.4.2 Data Manager Role (Static Data Maintenance, Instrument Setup)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Category</w:t>
            </w:r>
          </w:p>
        </w:tc>
        <w:tc>
          <w:tcPr/>
          <w:p>
            <w:pPr>
              <w:pStyle w:val="Compact"/>
              <w:jc w:val="left"/>
            </w:pPr>
            <w:r>
              <w:rPr>
                <w:b/>
                <w:bCs/>
              </w:rPr>
              <w:t xml:space="preserve">Maintenance Activity</w:t>
            </w:r>
          </w:p>
        </w:tc>
        <w:tc>
          <w:tcPr/>
          <w:p>
            <w:pPr>
              <w:pStyle w:val="Compact"/>
              <w:jc w:val="left"/>
            </w:pPr>
            <w:r>
              <w:rPr>
                <w:b/>
                <w:bCs/>
              </w:rPr>
              <w:t xml:space="preserve">Quality Control</w:t>
            </w:r>
          </w:p>
        </w:tc>
      </w:tr>
      <w:tr>
        <w:tc>
          <w:tcPr/>
          <w:p>
            <w:pPr>
              <w:pStyle w:val="Compact"/>
              <w:jc w:val="left"/>
            </w:pPr>
            <w:r>
              <w:t xml:space="preserve">Security master</w:t>
            </w:r>
          </w:p>
        </w:tc>
        <w:tc>
          <w:tcPr/>
          <w:p>
            <w:pPr>
              <w:pStyle w:val="Compact"/>
              <w:jc w:val="left"/>
            </w:pPr>
            <w:r>
              <w:t xml:space="preserve">New instrument setup, terms updates, status changes</w:t>
            </w:r>
          </w:p>
        </w:tc>
        <w:tc>
          <w:tcPr/>
          <w:p>
            <w:pPr>
              <w:pStyle w:val="Compact"/>
              <w:jc w:val="left"/>
            </w:pPr>
            <w:r>
              <w:t xml:space="preserve">Validation against authoritative sources, dual verification</w:t>
            </w:r>
          </w:p>
        </w:tc>
      </w:tr>
      <w:tr>
        <w:tc>
          <w:tcPr/>
          <w:p>
            <w:pPr>
              <w:pStyle w:val="Compact"/>
              <w:jc w:val="left"/>
            </w:pPr>
            <w:r>
              <w:t xml:space="preserve">Counterparty master</w:t>
            </w:r>
          </w:p>
        </w:tc>
        <w:tc>
          <w:tcPr/>
          <w:p>
            <w:pPr>
              <w:pStyle w:val="Compact"/>
              <w:jc w:val="left"/>
            </w:pPr>
            <w:r>
              <w:t xml:space="preserve">Onboarding, limit setup, agreement linkage</w:t>
            </w:r>
          </w:p>
        </w:tc>
        <w:tc>
          <w:tcPr/>
          <w:p>
            <w:pPr>
              <w:pStyle w:val="Compact"/>
              <w:jc w:val="left"/>
            </w:pPr>
            <w:r>
              <w:t xml:space="preserve">KYC integration, credit approval workflow</w:t>
            </w:r>
          </w:p>
        </w:tc>
      </w:tr>
      <w:tr>
        <w:tc>
          <w:tcPr/>
          <w:p>
            <w:pPr>
              <w:pStyle w:val="Compact"/>
              <w:jc w:val="left"/>
            </w:pPr>
            <w:r>
              <w:t xml:space="preserve">Market data</w:t>
            </w:r>
          </w:p>
        </w:tc>
        <w:tc>
          <w:tcPr/>
          <w:p>
            <w:pPr>
              <w:pStyle w:val="Compact"/>
              <w:jc w:val="left"/>
            </w:pPr>
            <w:r>
              <w:t xml:space="preserve">Price source configuration, holiday calendar, benchmark curves</w:t>
            </w:r>
          </w:p>
        </w:tc>
        <w:tc>
          <w:tcPr/>
          <w:p>
            <w:pPr>
              <w:pStyle w:val="Compact"/>
              <w:jc w:val="left"/>
            </w:pPr>
            <w:r>
              <w:t xml:space="preserve">Automated validation, manual override logging</w:t>
            </w:r>
          </w:p>
        </w:tc>
      </w:tr>
      <w:tr>
        <w:tc>
          <w:tcPr/>
          <w:p>
            <w:pPr>
              <w:pStyle w:val="Compact"/>
              <w:jc w:val="left"/>
            </w:pPr>
            <w:r>
              <w:t xml:space="preserve">Reference data</w:t>
            </w:r>
          </w:p>
        </w:tc>
        <w:tc>
          <w:tcPr/>
          <w:p>
            <w:pPr>
              <w:pStyle w:val="Compact"/>
              <w:jc w:val="left"/>
            </w:pPr>
            <w:r>
              <w:t xml:space="preserve">Ratings, corporate actions, regulatory classifications</w:t>
            </w:r>
          </w:p>
        </w:tc>
        <w:tc>
          <w:tcPr/>
          <w:p>
            <w:pPr>
              <w:pStyle w:val="Compact"/>
              <w:jc w:val="left"/>
            </w:pPr>
            <w:r>
              <w:t xml:space="preserve">Source verification, change notification</w:t>
            </w:r>
          </w:p>
        </w:tc>
      </w:tr>
    </w:tbl>
    <w:bookmarkEnd w:id="99"/>
    <w:bookmarkStart w:id="100" w:name="X4e683439ea81a36a92357fd18645f73e65639e2"/>
    <w:p>
      <w:pPr>
        <w:pStyle w:val="4"/>
      </w:pPr>
      <w:r>
        <w:t xml:space="preserve">4.4.3 Interface Manager Role (External System Connectivity, Message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Interface</w:t>
            </w:r>
          </w:p>
        </w:tc>
        <w:tc>
          <w:tcPr/>
          <w:p>
            <w:pPr>
              <w:pStyle w:val="Compact"/>
              <w:jc w:val="left"/>
            </w:pPr>
            <w:r>
              <w:rPr>
                <w:b/>
                <w:bCs/>
              </w:rPr>
              <w:t xml:space="preserve">Monitoring Element</w:t>
            </w:r>
          </w:p>
        </w:tc>
        <w:tc>
          <w:tcPr/>
          <w:p>
            <w:pPr>
              <w:pStyle w:val="Compact"/>
              <w:jc w:val="left"/>
            </w:pPr>
            <w:r>
              <w:rPr>
                <w:b/>
                <w:bCs/>
              </w:rPr>
              <w:t xml:space="preserve">Response Procedure</w:t>
            </w:r>
          </w:p>
        </w:tc>
      </w:tr>
      <w:tr>
        <w:tc>
          <w:tcPr/>
          <w:p>
            <w:pPr>
              <w:pStyle w:val="Compact"/>
              <w:jc w:val="left"/>
            </w:pPr>
            <w:r>
              <w:t xml:space="preserve">TSD</w:t>
            </w:r>
          </w:p>
        </w:tc>
        <w:tc>
          <w:tcPr/>
          <w:p>
            <w:pPr>
              <w:pStyle w:val="Compact"/>
              <w:jc w:val="left"/>
            </w:pPr>
            <w:r>
              <w:t xml:space="preserve">Message flow, settlement status, position reconciliation</w:t>
            </w:r>
          </w:p>
        </w:tc>
        <w:tc>
          <w:tcPr/>
          <w:p>
            <w:pPr>
              <w:pStyle w:val="Compact"/>
              <w:jc w:val="left"/>
            </w:pPr>
            <w:r>
              <w:t xml:space="preserve">Alert on delay, investigation, escalation</w:t>
            </w:r>
          </w:p>
        </w:tc>
      </w:tr>
      <w:tr>
        <w:tc>
          <w:tcPr/>
          <w:p>
            <w:pPr>
              <w:pStyle w:val="Compact"/>
              <w:jc w:val="left"/>
            </w:pPr>
            <w:r>
              <w:t xml:space="preserve">BAHTNET</w:t>
            </w:r>
          </w:p>
        </w:tc>
        <w:tc>
          <w:tcPr/>
          <w:p>
            <w:pPr>
              <w:pStyle w:val="Compact"/>
              <w:jc w:val="left"/>
            </w:pPr>
            <w:r>
              <w:t xml:space="preserve">Payment status, liquidity position, statement reconciliation</w:t>
            </w:r>
          </w:p>
        </w:tc>
        <w:tc>
          <w:tcPr/>
          <w:p>
            <w:pPr>
              <w:pStyle w:val="Compact"/>
              <w:jc w:val="left"/>
            </w:pPr>
            <w:r>
              <w:t xml:space="preserve">Intraday liquidity management, fail resolution</w:t>
            </w:r>
          </w:p>
        </w:tc>
      </w:tr>
      <w:tr>
        <w:tc>
          <w:tcPr/>
          <w:p>
            <w:pPr>
              <w:pStyle w:val="Compact"/>
              <w:jc w:val="left"/>
            </w:pPr>
            <w:r>
              <w:t xml:space="preserve">ThaiBMA</w:t>
            </w:r>
          </w:p>
        </w:tc>
        <w:tc>
          <w:tcPr/>
          <w:p>
            <w:pPr>
              <w:pStyle w:val="Compact"/>
              <w:jc w:val="left"/>
            </w:pPr>
            <w:r>
              <w:t xml:space="preserve">Trade reporting confirmation, price feed availability</w:t>
            </w:r>
          </w:p>
        </w:tc>
        <w:tc>
          <w:tcPr/>
          <w:p>
            <w:pPr>
              <w:pStyle w:val="Compact"/>
              <w:jc w:val="left"/>
            </w:pPr>
            <w:r>
              <w:t xml:space="preserve">Retry, backup, manual submission if needed</w:t>
            </w:r>
          </w:p>
        </w:tc>
      </w:tr>
      <w:tr>
        <w:tc>
          <w:tcPr/>
          <w:p>
            <w:pPr>
              <w:pStyle w:val="Compact"/>
              <w:jc w:val="left"/>
            </w:pPr>
            <w:r>
              <w:t xml:space="preserve">Market data vendors</w:t>
            </w:r>
          </w:p>
        </w:tc>
        <w:tc>
          <w:tcPr/>
          <w:p>
            <w:pPr>
              <w:pStyle w:val="Compact"/>
              <w:jc w:val="left"/>
            </w:pPr>
            <w:r>
              <w:t xml:space="preserve">Feed status, data quality, timeliness</w:t>
            </w:r>
          </w:p>
        </w:tc>
        <w:tc>
          <w:tcPr/>
          <w:p>
            <w:pPr>
              <w:pStyle w:val="Compact"/>
              <w:jc w:val="left"/>
            </w:pPr>
            <w:r>
              <w:t xml:space="preserve">Fallback activation, vendor escalation</w:t>
            </w:r>
          </w:p>
        </w:tc>
      </w:tr>
    </w:tbl>
    <w:bookmarkEnd w:id="100"/>
    <w:bookmarkEnd w:id="101"/>
    <w:bookmarkEnd w:id="102"/>
    <w:bookmarkStart w:id="115" w:name="external-system-integration-architecture"/>
    <w:p>
      <w:pPr>
        <w:pStyle w:val="2"/>
      </w:pPr>
      <w:r>
        <w:t xml:space="preserve">5. External System Integration Architecture</w:t>
      </w:r>
    </w:p>
    <w:bookmarkStart w:id="106" w:name="market-infrastructure-connections"/>
    <w:p>
      <w:pPr>
        <w:pStyle w:val="3"/>
      </w:pPr>
      <w:r>
        <w:t xml:space="preserve">5.1 Market Infrastructure Connections</w:t>
      </w:r>
    </w:p>
    <w:bookmarkStart w:id="103" w:name="X2ee4b45081a15848e20990f99f5b639c027ad63"/>
    <w:p>
      <w:pPr>
        <w:pStyle w:val="4"/>
      </w:pPr>
      <w:r>
        <w:t xml:space="preserve">5.1.1 Thailand Securities Depository (TSD) — SWIFT/Proprietary Messaging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Integration Layer</w:t>
            </w:r>
          </w:p>
        </w:tc>
        <w:tc>
          <w:tcPr/>
          <w:p>
            <w:pPr>
              <w:pStyle w:val="Compact"/>
              <w:jc w:val="left"/>
            </w:pPr>
            <w:r>
              <w:rPr>
                <w:b/>
                <w:bCs/>
              </w:rPr>
              <w:t xml:space="preserve">Protocol</w:t>
            </w:r>
          </w:p>
        </w:tc>
        <w:tc>
          <w:tcPr/>
          <w:p>
            <w:pPr>
              <w:pStyle w:val="Compact"/>
              <w:jc w:val="left"/>
            </w:pPr>
            <w:r>
              <w:rPr>
                <w:b/>
                <w:bCs/>
              </w:rPr>
              <w:t xml:space="preserve">Message Types</w:t>
            </w:r>
          </w:p>
        </w:tc>
        <w:tc>
          <w:tcPr/>
          <w:p>
            <w:pPr>
              <w:pStyle w:val="Compact"/>
              <w:jc w:val="left"/>
            </w:pPr>
            <w:r>
              <w:rPr>
                <w:b/>
                <w:bCs/>
              </w:rPr>
              <w:t xml:space="preserve">Criticality</w:t>
            </w:r>
          </w:p>
        </w:tc>
      </w:tr>
      <w:tr>
        <w:tc>
          <w:tcPr/>
          <w:p>
            <w:pPr>
              <w:pStyle w:val="Compact"/>
              <w:jc w:val="left"/>
            </w:pPr>
            <w:r>
              <w:t xml:space="preserve">Connectivity</w:t>
            </w:r>
          </w:p>
        </w:tc>
        <w:tc>
          <w:tcPr/>
          <w:p>
            <w:pPr>
              <w:pStyle w:val="Compact"/>
              <w:jc w:val="left"/>
            </w:pPr>
            <w:r>
              <w:t xml:space="preserve">VPN/leased line with SWIFT or proprietary</w:t>
            </w:r>
          </w:p>
        </w:tc>
        <w:tc>
          <w:tcPr/>
          <w:p>
            <w:pPr>
              <w:pStyle w:val="Compact"/>
              <w:jc w:val="left"/>
            </w:pPr>
            <w:r>
              <w:t xml:space="preserve">MT540–548 (settlement), custom (inquiry, corporate actions)</w:t>
            </w:r>
          </w:p>
        </w:tc>
        <w:tc>
          <w:tcPr/>
          <w:p>
            <w:pPr>
              <w:pStyle w:val="Compact"/>
              <w:jc w:val="left"/>
            </w:pPr>
            <w:r>
              <w:t xml:space="preserve">High—settlement failure disrupts operations</w:t>
            </w:r>
          </w:p>
        </w:tc>
      </w:tr>
      <w:tr>
        <w:tc>
          <w:tcPr/>
          <w:p>
            <w:pPr>
              <w:pStyle w:val="Compact"/>
              <w:jc w:val="left"/>
            </w:pPr>
            <w:r>
              <w:t xml:space="preserve">Security</w:t>
            </w:r>
          </w:p>
        </w:tc>
        <w:tc>
          <w:tcPr/>
          <w:p>
            <w:pPr>
              <w:pStyle w:val="Compact"/>
              <w:jc w:val="left"/>
            </w:pPr>
            <w:r>
              <w:t xml:space="preserve">PKI encryption, digital signatures</w:t>
            </w:r>
          </w:p>
        </w:tc>
        <w:tc>
          <w:tcPr/>
          <w:p>
            <w:pPr>
              <w:pStyle w:val="Compact"/>
              <w:jc w:val="left"/>
            </w:pPr>
            <w:r>
              <w:t xml:space="preserve">All messages authenticated</w:t>
            </w:r>
          </w:p>
        </w:tc>
        <w:tc>
          <w:tcPr/>
          <w:p>
            <w:pPr>
              <w:pStyle w:val="Compact"/>
              <w:jc w:val="left"/>
            </w:pPr>
            <w:r>
              <w:t xml:space="preserve">Regulatory requirement</w:t>
            </w:r>
          </w:p>
        </w:tc>
      </w:tr>
      <w:tr>
        <w:tc>
          <w:tcPr/>
          <w:p>
            <w:pPr>
              <w:pStyle w:val="Compact"/>
              <w:jc w:val="left"/>
            </w:pPr>
            <w:r>
              <w:t xml:space="preserve">Resilience</w:t>
            </w:r>
          </w:p>
        </w:tc>
        <w:tc>
          <w:tcPr/>
          <w:p>
            <w:pPr>
              <w:pStyle w:val="Compact"/>
              <w:jc w:val="left"/>
            </w:pPr>
            <w:r>
              <w:t xml:space="preserve">Dual connectivity, automatic failover</w:t>
            </w:r>
          </w:p>
        </w:tc>
        <w:tc>
          <w:tcPr/>
          <w:p>
            <w:pPr>
              <w:pStyle w:val="Compact"/>
              <w:jc w:val="left"/>
            </w:pPr>
            <w:r>
              <w:t xml:space="preserve">Message queuing, guaranteed delivery</w:t>
            </w:r>
          </w:p>
        </w:tc>
        <w:tc>
          <w:tcPr/>
          <w:p>
            <w:pPr>
              <w:pStyle w:val="Compact"/>
              <w:jc w:val="left"/>
            </w:pPr>
            <w:r>
              <w:t xml:space="preserve">Business continuity essential</w:t>
            </w:r>
          </w:p>
        </w:tc>
      </w:tr>
    </w:tbl>
    <w:bookmarkEnd w:id="103"/>
    <w:bookmarkStart w:id="104" w:name="X033aeeda447d7c177e5ea5ac7309376e95d540c"/>
    <w:p>
      <w:pPr>
        <w:pStyle w:val="4"/>
      </w:pPr>
      <w:r>
        <w:t xml:space="preserve">5.1.2 Bank of Thailand BAHTNET — RTGS Payment and Settlement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Specification</w:t>
            </w:r>
          </w:p>
        </w:tc>
        <w:tc>
          <w:tcPr/>
          <w:p>
            <w:pPr>
              <w:pStyle w:val="Compact"/>
              <w:jc w:val="left"/>
            </w:pPr>
            <w:r>
              <w:rPr>
                <w:b/>
                <w:bCs/>
              </w:rPr>
              <w:t xml:space="preserve">System Implication</w:t>
            </w:r>
          </w:p>
        </w:tc>
      </w:tr>
      <w:tr>
        <w:tc>
          <w:tcPr/>
          <w:p>
            <w:pPr>
              <w:pStyle w:val="Compact"/>
              <w:jc w:val="left"/>
            </w:pPr>
            <w:r>
              <w:t xml:space="preserve">Settlement mode</w:t>
            </w:r>
          </w:p>
        </w:tc>
        <w:tc>
          <w:tcPr/>
          <w:p>
            <w:pPr>
              <w:pStyle w:val="Compact"/>
              <w:jc w:val="left"/>
            </w:pPr>
            <w:r>
              <w:t xml:space="preserve">Real-time gross settlement</w:t>
            </w:r>
          </w:p>
        </w:tc>
        <w:tc>
          <w:tcPr/>
          <w:p>
            <w:pPr>
              <w:pStyle w:val="Compact"/>
              <w:jc w:val="left"/>
            </w:pPr>
            <w:r>
              <w:t xml:space="preserve">Immediate finality, no batch processing</w:t>
            </w:r>
          </w:p>
        </w:tc>
      </w:tr>
      <w:tr>
        <w:tc>
          <w:tcPr/>
          <w:p>
            <w:pPr>
              <w:pStyle w:val="Compact"/>
              <w:jc w:val="left"/>
            </w:pPr>
            <w:r>
              <w:t xml:space="preserve">Operating hours</w:t>
            </w:r>
          </w:p>
        </w:tc>
        <w:tc>
          <w:tcPr/>
          <w:p>
            <w:pPr>
              <w:pStyle w:val="Compact"/>
              <w:jc w:val="left"/>
            </w:pPr>
            <w:r>
              <w:t xml:space="preserve">Defined session, intraday finality</w:t>
            </w:r>
          </w:p>
        </w:tc>
        <w:tc>
          <w:tcPr/>
          <w:p>
            <w:pPr>
              <w:pStyle w:val="Compact"/>
              <w:jc w:val="left"/>
            </w:pPr>
            <w:r>
              <w:t xml:space="preserve">Liquidity management within session constraints</w:t>
            </w:r>
          </w:p>
        </w:tc>
      </w:tr>
      <w:tr>
        <w:tc>
          <w:tcPr/>
          <w:p>
            <w:pPr>
              <w:pStyle w:val="Compact"/>
              <w:jc w:val="left"/>
            </w:pPr>
            <w:r>
              <w:t xml:space="preserve">Message format</w:t>
            </w:r>
          </w:p>
        </w:tc>
        <w:tc>
          <w:tcPr/>
          <w:p>
            <w:pPr>
              <w:pStyle w:val="Compact"/>
              <w:jc w:val="left"/>
            </w:pPr>
            <w:r>
              <w:t xml:space="preserve">SWIFT MT or domestic equivalent</w:t>
            </w:r>
          </w:p>
        </w:tc>
        <w:tc>
          <w:tcPr/>
          <w:p>
            <w:pPr>
              <w:pStyle w:val="Compact"/>
              <w:jc w:val="left"/>
            </w:pPr>
            <w:r>
              <w:t xml:space="preserve">Format transformation, validation</w:t>
            </w:r>
          </w:p>
        </w:tc>
      </w:tr>
      <w:tr>
        <w:tc>
          <w:tcPr/>
          <w:p>
            <w:pPr>
              <w:pStyle w:val="Compact"/>
              <w:jc w:val="left"/>
            </w:pPr>
            <w:r>
              <w:t xml:space="preserve">Liquidity access</w:t>
            </w:r>
          </w:p>
        </w:tc>
        <w:tc>
          <w:tcPr/>
          <w:p>
            <w:pPr>
              <w:pStyle w:val="Compact"/>
              <w:jc w:val="left"/>
            </w:pPr>
            <w:r>
              <w:t xml:space="preserve">Intraday repo, standing facilities</w:t>
            </w:r>
          </w:p>
        </w:tc>
        <w:tc>
          <w:tcPr/>
          <w:p>
            <w:pPr>
              <w:pStyle w:val="Compact"/>
              <w:jc w:val="left"/>
            </w:pPr>
            <w:r>
              <w:t xml:space="preserve">Integration with monetary policy operations</w:t>
            </w:r>
          </w:p>
        </w:tc>
      </w:tr>
    </w:tbl>
    <w:bookmarkEnd w:id="104"/>
    <w:bookmarkStart w:id="105" w:name="Xce6620fecbafc1b963e98c1f5a18df8d7a93366"/>
    <w:p>
      <w:pPr>
        <w:pStyle w:val="4"/>
      </w:pPr>
      <w:r>
        <w:t xml:space="preserve">5.1.3 Thai Bond Market Association (ThaiBMA) — Trade Reporting API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w:t>
            </w:r>
          </w:p>
        </w:tc>
        <w:tc>
          <w:tcPr/>
          <w:p>
            <w:pPr>
              <w:pStyle w:val="Compact"/>
              <w:jc w:val="left"/>
            </w:pPr>
            <w:r>
              <w:rPr>
                <w:b/>
                <w:bCs/>
              </w:rPr>
              <w:t xml:space="preserve">Integration Mode</w:t>
            </w:r>
          </w:p>
        </w:tc>
        <w:tc>
          <w:tcPr/>
          <w:p>
            <w:pPr>
              <w:pStyle w:val="Compact"/>
              <w:jc w:val="left"/>
            </w:pPr>
            <w:r>
              <w:rPr>
                <w:b/>
                <w:bCs/>
              </w:rPr>
              <w:t xml:space="preserve">Performance Requirement</w:t>
            </w:r>
          </w:p>
        </w:tc>
      </w:tr>
      <w:tr>
        <w:tc>
          <w:tcPr/>
          <w:p>
            <w:pPr>
              <w:pStyle w:val="Compact"/>
              <w:jc w:val="left"/>
            </w:pPr>
            <w:r>
              <w:t xml:space="preserve">Real-time trade reporting</w:t>
            </w:r>
          </w:p>
        </w:tc>
        <w:tc>
          <w:tcPr/>
          <w:p>
            <w:pPr>
              <w:pStyle w:val="Compact"/>
              <w:jc w:val="left"/>
            </w:pPr>
            <w:r>
              <w:t xml:space="preserve">API, XML/JSON format</w:t>
            </w:r>
          </w:p>
        </w:tc>
        <w:tc>
          <w:tcPr/>
          <w:p>
            <w:pPr>
              <w:pStyle w:val="Compact"/>
              <w:jc w:val="left"/>
            </w:pPr>
            <w:r>
              <w:t xml:space="preserve">&lt;30 minutes from execution</w:t>
            </w:r>
          </w:p>
        </w:tc>
      </w:tr>
      <w:tr>
        <w:tc>
          <w:tcPr/>
          <w:p>
            <w:pPr>
              <w:pStyle w:val="Compact"/>
              <w:jc w:val="left"/>
            </w:pPr>
            <w:r>
              <w:t xml:space="preserve">Reference price retrieval</w:t>
            </w:r>
          </w:p>
        </w:tc>
        <w:tc>
          <w:tcPr/>
          <w:p>
            <w:pPr>
              <w:pStyle w:val="Compact"/>
              <w:jc w:val="left"/>
            </w:pPr>
            <w:r>
              <w:t xml:space="preserve">Scheduled batch, on-demand query</w:t>
            </w:r>
          </w:p>
        </w:tc>
        <w:tc>
          <w:tcPr/>
          <w:p>
            <w:pPr>
              <w:pStyle w:val="Compact"/>
              <w:jc w:val="left"/>
            </w:pPr>
            <w:r>
              <w:t xml:space="preserve">Daily for valuation, intraday if available</w:t>
            </w:r>
          </w:p>
        </w:tc>
      </w:tr>
      <w:tr>
        <w:tc>
          <w:tcPr/>
          <w:p>
            <w:pPr>
              <w:pStyle w:val="Compact"/>
              <w:jc w:val="left"/>
            </w:pPr>
            <w:r>
              <w:t xml:space="preserve">Market statistics</w:t>
            </w:r>
          </w:p>
        </w:tc>
        <w:tc>
          <w:tcPr/>
          <w:p>
            <w:pPr>
              <w:pStyle w:val="Compact"/>
              <w:jc w:val="left"/>
            </w:pPr>
            <w:r>
              <w:t xml:space="preserve">Periodic download, subscription</w:t>
            </w:r>
          </w:p>
        </w:tc>
        <w:tc>
          <w:tcPr/>
          <w:p>
            <w:pPr>
              <w:pStyle w:val="Compact"/>
              <w:jc w:val="left"/>
            </w:pPr>
            <w:r>
              <w:t xml:space="preserve">Daily/weekly for analysis</w:t>
            </w:r>
          </w:p>
        </w:tc>
      </w:tr>
      <w:tr>
        <w:tc>
          <w:tcPr/>
          <w:p>
            <w:pPr>
              <w:pStyle w:val="Compact"/>
              <w:jc w:val="left"/>
            </w:pPr>
            <w:r>
              <w:t xml:space="preserve">THOR publication</w:t>
            </w:r>
          </w:p>
        </w:tc>
        <w:tc>
          <w:tcPr/>
          <w:p>
            <w:pPr>
              <w:pStyle w:val="Compact"/>
              <w:jc w:val="left"/>
            </w:pPr>
            <w:r>
              <w:t xml:space="preserve">Automated ingestion</w:t>
            </w:r>
          </w:p>
        </w:tc>
        <w:tc>
          <w:tcPr/>
          <w:p>
            <w:pPr>
              <w:pStyle w:val="Compact"/>
              <w:jc w:val="left"/>
            </w:pPr>
            <w:r>
              <w:t xml:space="preserve">Daily fixing for benchmark use</w:t>
            </w:r>
          </w:p>
        </w:tc>
      </w:tr>
    </w:tbl>
    <w:bookmarkEnd w:id="105"/>
    <w:bookmarkEnd w:id="106"/>
    <w:bookmarkStart w:id="110" w:name="market-data-and-pricing-feeds"/>
    <w:p>
      <w:pPr>
        <w:pStyle w:val="3"/>
      </w:pPr>
      <w:r>
        <w:t xml:space="preserve">5.2 Market Data and Pricing Feeds</w:t>
      </w:r>
    </w:p>
    <w:bookmarkStart w:id="107" w:name="X962678d558656e6569c1e0af4b744fa473068eb"/>
    <w:p>
      <w:pPr>
        <w:pStyle w:val="4"/>
      </w:pPr>
      <w:r>
        <w:t xml:space="preserve">5.2.1 ThaiBMA Reference Pricing for Mark-to-Market</w:t>
      </w:r>
    </w:p>
    <w:p>
      <w:pPr>
        <w:pStyle w:val="FirstParagraph"/>
      </w:pPr>
      <w:r>
        <w:rPr>
          <w:b/>
          <w:bCs/>
        </w:rPr>
        <w:t xml:space="preserve">Primary valuation source</w:t>
      </w:r>
      <w:r>
        <w:t xml:space="preserve"> </w:t>
      </w:r>
      <w:r>
        <w:t xml:space="preserve">for Thai bonds, with</w:t>
      </w:r>
      <w:r>
        <w:t xml:space="preserve"> </w:t>
      </w:r>
      <w:r>
        <w:rPr>
          <w:b/>
          <w:bCs/>
        </w:rPr>
        <w:t xml:space="preserve">hierarchical fallback</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Source</w:t>
            </w:r>
          </w:p>
        </w:tc>
        <w:tc>
          <w:tcPr/>
          <w:p>
            <w:pPr>
              <w:pStyle w:val="Compact"/>
              <w:jc w:val="left"/>
            </w:pPr>
            <w:r>
              <w:rPr>
                <w:b/>
                <w:bCs/>
              </w:rPr>
              <w:t xml:space="preserve">Application</w:t>
            </w:r>
          </w:p>
        </w:tc>
      </w:tr>
      <w:tr>
        <w:tc>
          <w:tcPr/>
          <w:p>
            <w:pPr>
              <w:pStyle w:val="Compact"/>
              <w:jc w:val="left"/>
            </w:pPr>
            <w:r>
              <w:t xml:space="preserve">1</w:t>
            </w:r>
          </w:p>
        </w:tc>
        <w:tc>
          <w:tcPr/>
          <w:p>
            <w:pPr>
              <w:pStyle w:val="Compact"/>
              <w:jc w:val="left"/>
            </w:pPr>
            <w:r>
              <w:t xml:space="preserve">ThaiBMA reference price</w:t>
            </w:r>
          </w:p>
        </w:tc>
        <w:tc>
          <w:tcPr/>
          <w:p>
            <w:pPr>
              <w:pStyle w:val="Compact"/>
              <w:jc w:val="left"/>
            </w:pPr>
            <w:r>
              <w:t xml:space="preserve">Standard mark-to-market</w:t>
            </w:r>
          </w:p>
        </w:tc>
      </w:tr>
      <w:tr>
        <w:tc>
          <w:tcPr/>
          <w:p>
            <w:pPr>
              <w:pStyle w:val="Compact"/>
              <w:jc w:val="left"/>
            </w:pPr>
            <w:r>
              <w:t xml:space="preserve">2</w:t>
            </w:r>
          </w:p>
        </w:tc>
        <w:tc>
          <w:tcPr/>
          <w:p>
            <w:pPr>
              <w:pStyle w:val="Compact"/>
              <w:jc w:val="left"/>
            </w:pPr>
            <w:r>
              <w:t xml:space="preserve">ThaiBMA indicative price</w:t>
            </w:r>
          </w:p>
        </w:tc>
        <w:tc>
          <w:tcPr/>
          <w:p>
            <w:pPr>
              <w:pStyle w:val="Compact"/>
              <w:jc w:val="left"/>
            </w:pPr>
            <w:r>
              <w:t xml:space="preserve">Illiquid instruments</w:t>
            </w:r>
          </w:p>
        </w:tc>
      </w:tr>
      <w:tr>
        <w:tc>
          <w:tcPr/>
          <w:p>
            <w:pPr>
              <w:pStyle w:val="Compact"/>
              <w:jc w:val="left"/>
            </w:pPr>
            <w:r>
              <w:t xml:space="preserve">3</w:t>
            </w:r>
          </w:p>
        </w:tc>
        <w:tc>
          <w:tcPr/>
          <w:p>
            <w:pPr>
              <w:pStyle w:val="Compact"/>
              <w:jc w:val="left"/>
            </w:pPr>
            <w:r>
              <w:t xml:space="preserve">Broker quotes (2+ sources)</w:t>
            </w:r>
          </w:p>
        </w:tc>
        <w:tc>
          <w:tcPr/>
          <w:p>
            <w:pPr>
              <w:pStyle w:val="Compact"/>
              <w:jc w:val="left"/>
            </w:pPr>
            <w:r>
              <w:t xml:space="preserve">No ThaiBMA price available</w:t>
            </w:r>
          </w:p>
        </w:tc>
      </w:tr>
      <w:tr>
        <w:tc>
          <w:tcPr/>
          <w:p>
            <w:pPr>
              <w:pStyle w:val="Compact"/>
              <w:jc w:val="left"/>
            </w:pPr>
            <w:r>
              <w:t xml:space="preserve">4</w:t>
            </w:r>
          </w:p>
        </w:tc>
        <w:tc>
          <w:tcPr/>
          <w:p>
            <w:pPr>
              <w:pStyle w:val="Compact"/>
              <w:jc w:val="left"/>
            </w:pPr>
            <w:r>
              <w:t xml:space="preserve">Model valuation (documented)</w:t>
            </w:r>
          </w:p>
        </w:tc>
        <w:tc>
          <w:tcPr/>
          <w:p>
            <w:pPr>
              <w:pStyle w:val="Compact"/>
              <w:jc w:val="left"/>
            </w:pPr>
            <w:r>
              <w:t xml:space="preserve">No observable market data</w:t>
            </w:r>
          </w:p>
        </w:tc>
      </w:tr>
    </w:tbl>
    <w:bookmarkEnd w:id="107"/>
    <w:bookmarkStart w:id="108" w:name="Xfaff9c19385c87cec2b1ecb22e632afe56886dc"/>
    <w:p>
      <w:pPr>
        <w:pStyle w:val="4"/>
      </w:pPr>
      <w:r>
        <w:t xml:space="preserve">5.2.2 Bloomberg/Reuters Integration for Market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Use Case</w:t>
            </w:r>
          </w:p>
        </w:tc>
        <w:tc>
          <w:tcPr/>
          <w:p>
            <w:pPr>
              <w:pStyle w:val="Compact"/>
              <w:jc w:val="left"/>
            </w:pPr>
            <w:r>
              <w:rPr>
                <w:b/>
                <w:bCs/>
              </w:rPr>
              <w:t xml:space="preserve">Typical Implementation</w:t>
            </w:r>
          </w:p>
        </w:tc>
        <w:tc>
          <w:tcPr/>
          <w:p>
            <w:pPr>
              <w:pStyle w:val="Compact"/>
              <w:jc w:val="left"/>
            </w:pPr>
            <w:r>
              <w:rPr>
                <w:b/>
                <w:bCs/>
              </w:rPr>
              <w:t xml:space="preserve">Cost Consideration</w:t>
            </w:r>
          </w:p>
        </w:tc>
      </w:tr>
      <w:tr>
        <w:tc>
          <w:tcPr/>
          <w:p>
            <w:pPr>
              <w:pStyle w:val="Compact"/>
              <w:jc w:val="left"/>
            </w:pPr>
            <w:r>
              <w:t xml:space="preserve">Real-time trading</w:t>
            </w:r>
          </w:p>
        </w:tc>
        <w:tc>
          <w:tcPr/>
          <w:p>
            <w:pPr>
              <w:pStyle w:val="Compact"/>
              <w:jc w:val="left"/>
            </w:pPr>
            <w:r>
              <w:t xml:space="preserve">Bloomberg Terminal, limited licenses</w:t>
            </w:r>
          </w:p>
        </w:tc>
        <w:tc>
          <w:tcPr/>
          <w:p>
            <w:pPr>
              <w:pStyle w:val="Compact"/>
              <w:jc w:val="left"/>
            </w:pPr>
            <w:r>
              <w:t xml:space="preserve">~$20,000+ per terminal annually</w:t>
            </w:r>
          </w:p>
        </w:tc>
      </w:tr>
      <w:tr>
        <w:tc>
          <w:tcPr/>
          <w:p>
            <w:pPr>
              <w:pStyle w:val="Compact"/>
              <w:jc w:val="left"/>
            </w:pPr>
            <w:r>
              <w:t xml:space="preserve">Analytics and research</w:t>
            </w:r>
          </w:p>
        </w:tc>
        <w:tc>
          <w:tcPr/>
          <w:p>
            <w:pPr>
              <w:pStyle w:val="Compact"/>
              <w:jc w:val="left"/>
            </w:pPr>
            <w:r>
              <w:t xml:space="preserve">Bloomberg/Reuters desktop, shared access</w:t>
            </w:r>
          </w:p>
        </w:tc>
        <w:tc>
          <w:tcPr/>
          <w:p>
            <w:pPr>
              <w:pStyle w:val="Compact"/>
              <w:jc w:val="left"/>
            </w:pPr>
            <w:r>
              <w:t xml:space="preserve">License tier based on user count</w:t>
            </w:r>
          </w:p>
        </w:tc>
      </w:tr>
      <w:tr>
        <w:tc>
          <w:tcPr/>
          <w:p>
            <w:pPr>
              <w:pStyle w:val="Compact"/>
              <w:jc w:val="left"/>
            </w:pPr>
            <w:r>
              <w:t xml:space="preserve">Automated feeds</w:t>
            </w:r>
          </w:p>
        </w:tc>
        <w:tc>
          <w:tcPr/>
          <w:p>
            <w:pPr>
              <w:pStyle w:val="Compact"/>
              <w:jc w:val="left"/>
            </w:pPr>
            <w:r>
              <w:t xml:space="preserve">API integration for selected data</w:t>
            </w:r>
          </w:p>
        </w:tc>
        <w:tc>
          <w:tcPr/>
          <w:p>
            <w:pPr>
              <w:pStyle w:val="Compact"/>
              <w:jc w:val="left"/>
            </w:pPr>
            <w:r>
              <w:t xml:space="preserve">Per-field or bundle pricing</w:t>
            </w:r>
          </w:p>
        </w:tc>
      </w:tr>
      <w:tr>
        <w:tc>
          <w:tcPr/>
          <w:p>
            <w:pPr>
              <w:pStyle w:val="Compact"/>
              <w:jc w:val="left"/>
            </w:pPr>
            <w:r>
              <w:t xml:space="preserve">News and alerts</w:t>
            </w:r>
          </w:p>
        </w:tc>
        <w:tc>
          <w:tcPr/>
          <w:p>
            <w:pPr>
              <w:pStyle w:val="Compact"/>
              <w:jc w:val="left"/>
            </w:pPr>
            <w:r>
              <w:t xml:space="preserve">Integrated with trading workflow</w:t>
            </w:r>
          </w:p>
        </w:tc>
        <w:tc>
          <w:tcPr/>
          <w:p>
            <w:pPr>
              <w:pStyle w:val="Compact"/>
              <w:jc w:val="left"/>
            </w:pPr>
            <w:r>
              <w:t xml:space="preserve">Often bundled with price data</w:t>
            </w:r>
          </w:p>
        </w:tc>
      </w:tr>
    </w:tbl>
    <w:bookmarkEnd w:id="108"/>
    <w:bookmarkStart w:id="109" w:name="Xa570d7c988590a613bb15f21ec5e0de65f2ea15"/>
    <w:p>
      <w:pPr>
        <w:pStyle w:val="4"/>
      </w:pPr>
      <w:r>
        <w:t xml:space="preserve">5.2.3 BOT Monetary Policy Rate and Benchmark Curve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 Element</w:t>
            </w:r>
          </w:p>
        </w:tc>
        <w:tc>
          <w:tcPr/>
          <w:p>
            <w:pPr>
              <w:pStyle w:val="Compact"/>
              <w:jc w:val="left"/>
            </w:pPr>
            <w:r>
              <w:rPr>
                <w:b/>
                <w:bCs/>
              </w:rPr>
              <w:t xml:space="preserve">Source</w:t>
            </w:r>
          </w:p>
        </w:tc>
        <w:tc>
          <w:tcPr/>
          <w:p>
            <w:pPr>
              <w:pStyle w:val="Compact"/>
              <w:jc w:val="left"/>
            </w:pPr>
            <w:r>
              <w:rPr>
                <w:b/>
                <w:bCs/>
              </w:rPr>
              <w:t xml:space="preserve">Frequency</w:t>
            </w:r>
          </w:p>
        </w:tc>
        <w:tc>
          <w:tcPr/>
          <w:p>
            <w:pPr>
              <w:pStyle w:val="Compact"/>
              <w:jc w:val="left"/>
            </w:pPr>
            <w:r>
              <w:rPr>
                <w:b/>
                <w:bCs/>
              </w:rPr>
              <w:t xml:space="preserve">Use</w:t>
            </w:r>
          </w:p>
        </w:tc>
      </w:tr>
      <w:tr>
        <w:tc>
          <w:tcPr/>
          <w:p>
            <w:pPr>
              <w:pStyle w:val="Compact"/>
              <w:jc w:val="left"/>
            </w:pPr>
            <w:r>
              <w:t xml:space="preserve">Policy rate</w:t>
            </w:r>
          </w:p>
        </w:tc>
        <w:tc>
          <w:tcPr/>
          <w:p>
            <w:pPr>
              <w:pStyle w:val="Compact"/>
              <w:jc w:val="left"/>
            </w:pPr>
            <w:r>
              <w:t xml:space="preserve">BOT announcement</w:t>
            </w:r>
          </w:p>
        </w:tc>
        <w:tc>
          <w:tcPr/>
          <w:p>
            <w:pPr>
              <w:pStyle w:val="Compact"/>
              <w:jc w:val="left"/>
            </w:pPr>
            <w:r>
              <w:t xml:space="preserve">As decided (typically quarterly)</w:t>
            </w:r>
          </w:p>
        </w:tc>
        <w:tc>
          <w:tcPr/>
          <w:p>
            <w:pPr>
              <w:pStyle w:val="Compact"/>
              <w:jc w:val="left"/>
            </w:pPr>
            <w:r>
              <w:t xml:space="preserve">Pricing anchor, expectation gauge</w:t>
            </w:r>
          </w:p>
        </w:tc>
      </w:tr>
      <w:tr>
        <w:tc>
          <w:tcPr/>
          <w:p>
            <w:pPr>
              <w:pStyle w:val="Compact"/>
              <w:jc w:val="left"/>
            </w:pPr>
            <w:r>
              <w:t xml:space="preserve">THOR</w:t>
            </w:r>
          </w:p>
        </w:tc>
        <w:tc>
          <w:tcPr/>
          <w:p>
            <w:pPr>
              <w:pStyle w:val="Compact"/>
              <w:jc w:val="left"/>
            </w:pPr>
            <w:r>
              <w:t xml:space="preserve">ThaiBMA calculation</w:t>
            </w:r>
          </w:p>
        </w:tc>
        <w:tc>
          <w:tcPr/>
          <w:p>
            <w:pPr>
              <w:pStyle w:val="Compact"/>
              <w:jc w:val="left"/>
            </w:pPr>
            <w:r>
              <w:t xml:space="preserve">Daily</w:t>
            </w:r>
          </w:p>
        </w:tc>
        <w:tc>
          <w:tcPr/>
          <w:p>
            <w:pPr>
              <w:pStyle w:val="Compact"/>
              <w:jc w:val="left"/>
            </w:pPr>
            <w:r>
              <w:t xml:space="preserve">Overnight repo benchmark</w:t>
            </w:r>
          </w:p>
        </w:tc>
      </w:tr>
      <w:tr>
        <w:tc>
          <w:tcPr/>
          <w:p>
            <w:pPr>
              <w:pStyle w:val="Compact"/>
              <w:jc w:val="left"/>
            </w:pPr>
            <w:r>
              <w:t xml:space="preserve">Government yield curve</w:t>
            </w:r>
          </w:p>
        </w:tc>
        <w:tc>
          <w:tcPr/>
          <w:p>
            <w:pPr>
              <w:pStyle w:val="Compact"/>
              <w:jc w:val="left"/>
            </w:pPr>
            <w:r>
              <w:t xml:space="preserve">BOT/ThaiBMA publication</w:t>
            </w:r>
          </w:p>
        </w:tc>
        <w:tc>
          <w:tcPr/>
          <w:p>
            <w:pPr>
              <w:pStyle w:val="Compact"/>
              <w:jc w:val="left"/>
            </w:pPr>
            <w:r>
              <w:t xml:space="preserve">Daily</w:t>
            </w:r>
          </w:p>
        </w:tc>
        <w:tc>
          <w:tcPr/>
          <w:p>
            <w:pPr>
              <w:pStyle w:val="Compact"/>
              <w:jc w:val="left"/>
            </w:pPr>
            <w:r>
              <w:t xml:space="preserve">Relative value, discounting</w:t>
            </w:r>
          </w:p>
        </w:tc>
      </w:tr>
      <w:tr>
        <w:tc>
          <w:tcPr/>
          <w:p>
            <w:pPr>
              <w:pStyle w:val="Compact"/>
              <w:jc w:val="left"/>
            </w:pPr>
            <w:r>
              <w:t xml:space="preserve">Repo rates by tenor</w:t>
            </w:r>
          </w:p>
        </w:tc>
        <w:tc>
          <w:tcPr/>
          <w:p>
            <w:pPr>
              <w:pStyle w:val="Compact"/>
              <w:jc w:val="left"/>
            </w:pPr>
            <w:r>
              <w:t xml:space="preserve">ThaiBMA average</w:t>
            </w:r>
          </w:p>
        </w:tc>
        <w:tc>
          <w:tcPr/>
          <w:p>
            <w:pPr>
              <w:pStyle w:val="Compact"/>
              <w:jc w:val="left"/>
            </w:pPr>
            <w:r>
              <w:t xml:space="preserve">Daily</w:t>
            </w:r>
          </w:p>
        </w:tc>
        <w:tc>
          <w:tcPr/>
          <w:p>
            <w:pPr>
              <w:pStyle w:val="Compact"/>
              <w:jc w:val="left"/>
            </w:pPr>
            <w:r>
              <w:t xml:space="preserve">Repo pricing reference</w:t>
            </w:r>
          </w:p>
        </w:tc>
      </w:tr>
    </w:tbl>
    <w:bookmarkEnd w:id="109"/>
    <w:bookmarkEnd w:id="110"/>
    <w:bookmarkStart w:id="114" w:name="internal-system-integration"/>
    <w:p>
      <w:pPr>
        <w:pStyle w:val="3"/>
      </w:pPr>
      <w:r>
        <w:t xml:space="preserve">5.3 Internal System Integration</w:t>
      </w:r>
    </w:p>
    <w:bookmarkStart w:id="111" w:name="X7e730bbd86d36b72a71801d23cdb87c886cdce5"/>
    <w:p>
      <w:pPr>
        <w:pStyle w:val="4"/>
      </w:pPr>
      <w:r>
        <w:t xml:space="preserve">5.3.1 Core Banking System Interface (General Ledger, Customer Accounts)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Integration Mode</w:t>
            </w:r>
          </w:p>
        </w:tc>
        <w:tc>
          <w:tcPr/>
          <w:p>
            <w:pPr>
              <w:pStyle w:val="Compact"/>
              <w:jc w:val="left"/>
            </w:pPr>
            <w:r>
              <w:rPr>
                <w:b/>
                <w:bCs/>
              </w:rPr>
              <w:t xml:space="preserve">Data Exchange</w:t>
            </w:r>
          </w:p>
        </w:tc>
        <w:tc>
          <w:tcPr/>
          <w:p>
            <w:pPr>
              <w:pStyle w:val="Compact"/>
              <w:jc w:val="left"/>
            </w:pPr>
            <w:r>
              <w:rPr>
                <w:b/>
                <w:bCs/>
              </w:rPr>
              <w:t xml:space="preserve">Control Consideration</w:t>
            </w:r>
          </w:p>
        </w:tc>
      </w:tr>
      <w:tr>
        <w:tc>
          <w:tcPr/>
          <w:p>
            <w:pPr>
              <w:pStyle w:val="Compact"/>
              <w:jc w:val="left"/>
            </w:pPr>
            <w:r>
              <w:t xml:space="preserve">Real-time API</w:t>
            </w:r>
          </w:p>
        </w:tc>
        <w:tc>
          <w:tcPr/>
          <w:p>
            <w:pPr>
              <w:pStyle w:val="Compact"/>
              <w:jc w:val="left"/>
            </w:pPr>
            <w:r>
              <w:t xml:space="preserve">Journal entries, position updates</w:t>
            </w:r>
          </w:p>
        </w:tc>
        <w:tc>
          <w:tcPr/>
          <w:p>
            <w:pPr>
              <w:pStyle w:val="Compact"/>
              <w:jc w:val="left"/>
            </w:pPr>
            <w:r>
              <w:t xml:space="preserve">Immediate posting, reconciliation challenge</w:t>
            </w:r>
          </w:p>
        </w:tc>
      </w:tr>
      <w:tr>
        <w:tc>
          <w:tcPr/>
          <w:p>
            <w:pPr>
              <w:pStyle w:val="Compact"/>
              <w:jc w:val="left"/>
            </w:pPr>
            <w:r>
              <w:t xml:space="preserve">Batch file exchange</w:t>
            </w:r>
          </w:p>
        </w:tc>
        <w:tc>
          <w:tcPr/>
          <w:p>
            <w:pPr>
              <w:pStyle w:val="Compact"/>
              <w:jc w:val="left"/>
            </w:pPr>
            <w:r>
              <w:t xml:space="preserve">End-of-day summary, detailed transactions</w:t>
            </w:r>
          </w:p>
        </w:tc>
        <w:tc>
          <w:tcPr/>
          <w:p>
            <w:pPr>
              <w:pStyle w:val="Compact"/>
              <w:jc w:val="left"/>
            </w:pPr>
            <w:r>
              <w:t xml:space="preserve">Controlled timing, validation before posting</w:t>
            </w:r>
          </w:p>
        </w:tc>
      </w:tr>
      <w:tr>
        <w:tc>
          <w:tcPr/>
          <w:p>
            <w:pPr>
              <w:pStyle w:val="Compact"/>
              <w:jc w:val="left"/>
            </w:pPr>
            <w:r>
              <w:t xml:space="preserve">Message queue</w:t>
            </w:r>
          </w:p>
        </w:tc>
        <w:tc>
          <w:tcPr/>
          <w:p>
            <w:pPr>
              <w:pStyle w:val="Compact"/>
              <w:jc w:val="left"/>
            </w:pPr>
            <w:r>
              <w:t xml:space="preserve">Event-driven updates, guaranteed delivery</w:t>
            </w:r>
          </w:p>
        </w:tc>
        <w:tc>
          <w:tcPr/>
          <w:p>
            <w:pPr>
              <w:pStyle w:val="Compact"/>
              <w:jc w:val="left"/>
            </w:pPr>
            <w:r>
              <w:t xml:space="preserve">Balance between timeliness and control</w:t>
            </w:r>
          </w:p>
        </w:tc>
      </w:tr>
    </w:tbl>
    <w:bookmarkEnd w:id="111"/>
    <w:bookmarkStart w:id="112" w:name="Xc633cdd72abc80e8d039db6b1296904861dce1d"/>
    <w:p>
      <w:pPr>
        <w:pStyle w:val="4"/>
      </w:pPr>
      <w:r>
        <w:t xml:space="preserve">5.3.2 Enterprise Risk Management System Connectivity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Data Flow</w:t>
            </w:r>
          </w:p>
        </w:tc>
        <w:tc>
          <w:tcPr/>
          <w:p>
            <w:pPr>
              <w:pStyle w:val="Compact"/>
              <w:jc w:val="left"/>
            </w:pPr>
            <w:r>
              <w:rPr>
                <w:b/>
                <w:bCs/>
              </w:rPr>
              <w:t xml:space="preserve">Content</w:t>
            </w:r>
          </w:p>
        </w:tc>
        <w:tc>
          <w:tcPr/>
          <w:p>
            <w:pPr>
              <w:pStyle w:val="Compact"/>
              <w:jc w:val="left"/>
            </w:pPr>
            <w:r>
              <w:rPr>
                <w:b/>
                <w:bCs/>
              </w:rPr>
              <w:t xml:space="preserve">Aggregation Level</w:t>
            </w:r>
          </w:p>
        </w:tc>
      </w:tr>
      <w:tr>
        <w:tc>
          <w:tcPr/>
          <w:p>
            <w:pPr>
              <w:pStyle w:val="Compact"/>
              <w:jc w:val="left"/>
            </w:pPr>
            <w:r>
              <w:t xml:space="preserve">To ERM</w:t>
            </w:r>
          </w:p>
        </w:tc>
        <w:tc>
          <w:tcPr/>
          <w:p>
            <w:pPr>
              <w:pStyle w:val="Compact"/>
              <w:jc w:val="left"/>
            </w:pPr>
            <w:r>
              <w:t xml:space="preserve">Position, exposure, limit utilization</w:t>
            </w:r>
          </w:p>
        </w:tc>
        <w:tc>
          <w:tcPr/>
          <w:p>
            <w:pPr>
              <w:pStyle w:val="Compact"/>
              <w:jc w:val="left"/>
            </w:pPr>
            <w:r>
              <w:t xml:space="preserve">Detailed, instrument-level</w:t>
            </w:r>
          </w:p>
        </w:tc>
      </w:tr>
      <w:tr>
        <w:tc>
          <w:tcPr/>
          <w:p>
            <w:pPr>
              <w:pStyle w:val="Compact"/>
              <w:jc w:val="left"/>
            </w:pPr>
            <w:r>
              <w:t xml:space="preserve">From ERM</w:t>
            </w:r>
          </w:p>
        </w:tc>
        <w:tc>
          <w:tcPr/>
          <w:p>
            <w:pPr>
              <w:pStyle w:val="Compact"/>
              <w:jc w:val="left"/>
            </w:pPr>
            <w:r>
              <w:t xml:space="preserve">Enterprise risk metrics, stress scenarios</w:t>
            </w:r>
          </w:p>
        </w:tc>
        <w:tc>
          <w:tcPr/>
          <w:p>
            <w:pPr>
              <w:pStyle w:val="Compact"/>
              <w:jc w:val="left"/>
            </w:pPr>
            <w:r>
              <w:t xml:space="preserve">Consolidated, portfolio-level</w:t>
            </w:r>
          </w:p>
        </w:tc>
      </w:tr>
      <w:tr>
        <w:tc>
          <w:tcPr/>
          <w:p>
            <w:pPr>
              <w:pStyle w:val="Compact"/>
              <w:jc w:val="left"/>
            </w:pPr>
            <w:r>
              <w:t xml:space="preserve">Bi-directional</w:t>
            </w:r>
          </w:p>
        </w:tc>
        <w:tc>
          <w:tcPr/>
          <w:p>
            <w:pPr>
              <w:pStyle w:val="Compact"/>
              <w:jc w:val="left"/>
            </w:pPr>
            <w:r>
              <w:t xml:space="preserve">Model parameters, validation results</w:t>
            </w:r>
          </w:p>
        </w:tc>
        <w:tc>
          <w:tcPr/>
          <w:p>
            <w:pPr>
              <w:pStyle w:val="Compact"/>
              <w:jc w:val="left"/>
            </w:pPr>
            <w:r>
              <w:t xml:space="preserve">As required for consistency</w:t>
            </w:r>
          </w:p>
        </w:tc>
      </w:tr>
    </w:tbl>
    <w:bookmarkEnd w:id="112"/>
    <w:bookmarkStart w:id="113" w:name="X621f19660769be781c716ca5794d6d2b7e43888"/>
    <w:p>
      <w:pPr>
        <w:pStyle w:val="4"/>
      </w:pPr>
      <w:r>
        <w:t xml:space="preserve">5.3.3 Data Warehouse and Business Intelligence Layer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Warehouse Function</w:t>
            </w:r>
          </w:p>
        </w:tc>
        <w:tc>
          <w:tcPr/>
          <w:p>
            <w:pPr>
              <w:pStyle w:val="Compact"/>
              <w:jc w:val="left"/>
            </w:pPr>
            <w:r>
              <w:rPr>
                <w:b/>
                <w:bCs/>
              </w:rPr>
              <w:t xml:space="preserve">Implementation Approach</w:t>
            </w:r>
          </w:p>
        </w:tc>
      </w:tr>
      <w:tr>
        <w:tc>
          <w:tcPr/>
          <w:p>
            <w:pPr>
              <w:pStyle w:val="Compact"/>
              <w:jc w:val="left"/>
            </w:pPr>
            <w:r>
              <w:t xml:space="preserve">Historical data retention</w:t>
            </w:r>
          </w:p>
        </w:tc>
        <w:tc>
          <w:tcPr/>
          <w:p>
            <w:pPr>
              <w:pStyle w:val="Compact"/>
              <w:jc w:val="left"/>
            </w:pPr>
            <w:r>
              <w:t xml:space="preserve">10+ years online, archival for regulatory</w:t>
            </w:r>
          </w:p>
        </w:tc>
      </w:tr>
      <w:tr>
        <w:tc>
          <w:tcPr/>
          <w:p>
            <w:pPr>
              <w:pStyle w:val="Compact"/>
              <w:jc w:val="left"/>
            </w:pPr>
            <w:r>
              <w:t xml:space="preserve">Analytics and reporting</w:t>
            </w:r>
          </w:p>
        </w:tc>
        <w:tc>
          <w:tcPr/>
          <w:p>
            <w:pPr>
              <w:pStyle w:val="Compact"/>
              <w:jc w:val="left"/>
            </w:pPr>
            <w:r>
              <w:t xml:space="preserve">Star schema, dimensional modeling</w:t>
            </w:r>
          </w:p>
        </w:tc>
      </w:tr>
      <w:tr>
        <w:tc>
          <w:tcPr/>
          <w:p>
            <w:pPr>
              <w:pStyle w:val="Compact"/>
              <w:jc w:val="left"/>
            </w:pPr>
            <w:r>
              <w:t xml:space="preserve">Data quality</w:t>
            </w:r>
          </w:p>
        </w:tc>
        <w:tc>
          <w:tcPr/>
          <w:p>
            <w:pPr>
              <w:pStyle w:val="Compact"/>
              <w:jc w:val="left"/>
            </w:pPr>
            <w:r>
              <w:t xml:space="preserve">ETL validation, reconciliation, exception handling</w:t>
            </w:r>
          </w:p>
        </w:tc>
      </w:tr>
      <w:tr>
        <w:tc>
          <w:tcPr/>
          <w:p>
            <w:pPr>
              <w:pStyle w:val="Compact"/>
              <w:jc w:val="left"/>
            </w:pPr>
            <w:r>
              <w:t xml:space="preserve">Access layer</w:t>
            </w:r>
          </w:p>
        </w:tc>
        <w:tc>
          <w:tcPr/>
          <w:p>
            <w:pPr>
              <w:pStyle w:val="Compact"/>
              <w:jc w:val="left"/>
            </w:pPr>
            <w:r>
              <w:t xml:space="preserve">Self-service BI for authorized users, governed data marts</w:t>
            </w:r>
          </w:p>
        </w:tc>
      </w:tr>
    </w:tbl>
    <w:bookmarkEnd w:id="113"/>
    <w:bookmarkEnd w:id="114"/>
    <w:bookmarkEnd w:id="115"/>
    <w:bookmarkStart w:id="130" w:name="regulatory-compliance-framework"/>
    <w:p>
      <w:pPr>
        <w:pStyle w:val="2"/>
      </w:pPr>
      <w:r>
        <w:t xml:space="preserve">6. Regulatory Compliance Framework</w:t>
      </w:r>
    </w:p>
    <w:bookmarkStart w:id="119" w:name="Xe32e5060ef7a0c352686f724528d078eb670ac4"/>
    <w:p>
      <w:pPr>
        <w:pStyle w:val="3"/>
      </w:pPr>
      <w:r>
        <w:t xml:space="preserve">6.1 Bank of Thailand Supervisory Requirements</w:t>
      </w:r>
    </w:p>
    <w:bookmarkStart w:id="116" w:name="X25b7fa5ea99ad81d4846456c3be1498be811166"/>
    <w:p>
      <w:pPr>
        <w:pStyle w:val="4"/>
      </w:pPr>
      <w:r>
        <w:t xml:space="preserve">6.1.1 Liquidity Coverage Ratio (LCR) and Net Stable Funding Ratio (NSFR)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Ratio</w:t>
            </w:r>
          </w:p>
        </w:tc>
        <w:tc>
          <w:tcPr/>
          <w:p>
            <w:pPr>
              <w:pStyle w:val="Compact"/>
              <w:jc w:val="left"/>
            </w:pPr>
            <w:r>
              <w:rPr>
                <w:b/>
                <w:bCs/>
              </w:rPr>
              <w:t xml:space="preserve">Numerator</w:t>
            </w:r>
          </w:p>
        </w:tc>
        <w:tc>
          <w:tcPr/>
          <w:p>
            <w:pPr>
              <w:pStyle w:val="Compact"/>
              <w:jc w:val="left"/>
            </w:pPr>
            <w:r>
              <w:rPr>
                <w:b/>
                <w:bCs/>
              </w:rPr>
              <w:t xml:space="preserve">Denominator</w:t>
            </w:r>
          </w:p>
        </w:tc>
        <w:tc>
          <w:tcPr/>
          <w:p>
            <w:pPr>
              <w:pStyle w:val="Compact"/>
              <w:jc w:val="left"/>
            </w:pPr>
            <w:r>
              <w:rPr>
                <w:b/>
                <w:bCs/>
              </w:rPr>
              <w:t xml:space="preserve">Minimum Requirement</w:t>
            </w:r>
          </w:p>
        </w:tc>
      </w:tr>
      <w:tr>
        <w:tc>
          <w:tcPr/>
          <w:p>
            <w:pPr>
              <w:pStyle w:val="Compact"/>
              <w:jc w:val="left"/>
            </w:pPr>
            <w:r>
              <w:t xml:space="preserve">LCR</w:t>
            </w:r>
          </w:p>
        </w:tc>
        <w:tc>
          <w:tcPr/>
          <w:p>
            <w:pPr>
              <w:pStyle w:val="Compact"/>
              <w:jc w:val="left"/>
            </w:pPr>
            <w:r>
              <w:t xml:space="preserve">High-quality liquid assets (HQLA)</w:t>
            </w:r>
          </w:p>
        </w:tc>
        <w:tc>
          <w:tcPr/>
          <w:p>
            <w:pPr>
              <w:pStyle w:val="Compact"/>
              <w:jc w:val="left"/>
            </w:pPr>
            <w:r>
              <w:t xml:space="preserve">Net cash outflows (30-day stress)</w:t>
            </w:r>
          </w:p>
        </w:tc>
        <w:tc>
          <w:tcPr/>
          <w:p>
            <w:pPr>
              <w:pStyle w:val="Compact"/>
              <w:jc w:val="left"/>
            </w:pPr>
            <w:r>
              <w:t xml:space="preserve">100%</w:t>
            </w:r>
          </w:p>
        </w:tc>
      </w:tr>
      <w:tr>
        <w:tc>
          <w:tcPr/>
          <w:p>
            <w:pPr>
              <w:pStyle w:val="Compact"/>
              <w:jc w:val="left"/>
            </w:pPr>
            <w:r>
              <w:t xml:space="preserve">NSFR</w:t>
            </w:r>
          </w:p>
        </w:tc>
        <w:tc>
          <w:tcPr/>
          <w:p>
            <w:pPr>
              <w:pStyle w:val="Compact"/>
              <w:jc w:val="left"/>
            </w:pPr>
            <w:r>
              <w:t xml:space="preserve">Available stable funding</w:t>
            </w:r>
          </w:p>
        </w:tc>
        <w:tc>
          <w:tcPr/>
          <w:p>
            <w:pPr>
              <w:pStyle w:val="Compact"/>
              <w:jc w:val="left"/>
            </w:pPr>
            <w:r>
              <w:t xml:space="preserve">Required stable funding</w:t>
            </w:r>
          </w:p>
        </w:tc>
        <w:tc>
          <w:tcPr/>
          <w:p>
            <w:pPr>
              <w:pStyle w:val="Compact"/>
              <w:jc w:val="left"/>
            </w:pPr>
            <w:r>
              <w:t xml:space="preserve">100%</w:t>
            </w:r>
          </w:p>
        </w:tc>
      </w:tr>
    </w:tbl>
    <w:p>
      <w:pPr>
        <w:pStyle w:val="a0"/>
      </w:pPr>
      <w:r>
        <w:rPr>
          <w:b/>
          <w:bCs/>
        </w:rPr>
        <w:t xml:space="preserve">System support</w:t>
      </w:r>
      <w:r>
        <w:t xml:space="preserve">: Automated HQLA classification, cash flow projection, stress scenario modeling, regulatory report generation.</w:t>
      </w:r>
    </w:p>
    <w:bookmarkEnd w:id="116"/>
    <w:bookmarkStart w:id="117" w:name="X6cb34b5c277759d2ad1cd70d0588b1a2ec42fc9"/>
    <w:p>
      <w:pPr>
        <w:pStyle w:val="4"/>
      </w:pPr>
      <w:r>
        <w:t xml:space="preserve">6.1.2 Large Exposure Limits and Concentration Risk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Exposure Type</w:t>
            </w:r>
          </w:p>
        </w:tc>
        <w:tc>
          <w:tcPr/>
          <w:p>
            <w:pPr>
              <w:pStyle w:val="Compact"/>
              <w:jc w:val="left"/>
            </w:pPr>
            <w:r>
              <w:rPr>
                <w:b/>
                <w:bCs/>
              </w:rPr>
              <w:t xml:space="preserve">Limit Basis</w:t>
            </w:r>
          </w:p>
        </w:tc>
        <w:tc>
          <w:tcPr/>
          <w:p>
            <w:pPr>
              <w:pStyle w:val="Compact"/>
              <w:jc w:val="left"/>
            </w:pPr>
            <w:r>
              <w:rPr>
                <w:b/>
                <w:bCs/>
              </w:rPr>
              <w:t xml:space="preserve">System Tracking</w:t>
            </w:r>
          </w:p>
        </w:tc>
      </w:tr>
      <w:tr>
        <w:tc>
          <w:tcPr/>
          <w:p>
            <w:pPr>
              <w:pStyle w:val="Compact"/>
              <w:jc w:val="left"/>
            </w:pPr>
            <w:r>
              <w:t xml:space="preserve">Single counterparty</w:t>
            </w:r>
          </w:p>
        </w:tc>
        <w:tc>
          <w:tcPr/>
          <w:p>
            <w:pPr>
              <w:pStyle w:val="Compact"/>
              <w:jc w:val="left"/>
            </w:pPr>
            <w:r>
              <w:t xml:space="preserve">Tier 1 capital percentage</w:t>
            </w:r>
          </w:p>
        </w:tc>
        <w:tc>
          <w:tcPr/>
          <w:p>
            <w:pPr>
              <w:pStyle w:val="Compact"/>
              <w:jc w:val="left"/>
            </w:pPr>
            <w:r>
              <w:t xml:space="preserve">Real-time aggregation across products</w:t>
            </w:r>
          </w:p>
        </w:tc>
      </w:tr>
      <w:tr>
        <w:tc>
          <w:tcPr/>
          <w:p>
            <w:pPr>
              <w:pStyle w:val="Compact"/>
              <w:jc w:val="left"/>
            </w:pPr>
            <w:r>
              <w:t xml:space="preserve">Connected group</w:t>
            </w:r>
          </w:p>
        </w:tc>
        <w:tc>
          <w:tcPr/>
          <w:p>
            <w:pPr>
              <w:pStyle w:val="Compact"/>
              <w:jc w:val="left"/>
            </w:pPr>
            <w:r>
              <w:t xml:space="preserve">Consolidated group definition</w:t>
            </w:r>
          </w:p>
        </w:tc>
        <w:tc>
          <w:tcPr/>
          <w:p>
            <w:pPr>
              <w:pStyle w:val="Compact"/>
              <w:jc w:val="left"/>
            </w:pPr>
            <w:r>
              <w:t xml:space="preserve">Relationship mapping, attribution</w:t>
            </w:r>
          </w:p>
        </w:tc>
      </w:tr>
      <w:tr>
        <w:tc>
          <w:tcPr/>
          <w:p>
            <w:pPr>
              <w:pStyle w:val="Compact"/>
              <w:jc w:val="left"/>
            </w:pPr>
            <w:r>
              <w:t xml:space="preserve">Sector concentration</w:t>
            </w:r>
          </w:p>
        </w:tc>
        <w:tc>
          <w:tcPr/>
          <w:p>
            <w:pPr>
              <w:pStyle w:val="Compact"/>
              <w:jc w:val="left"/>
            </w:pPr>
            <w:r>
              <w:t xml:space="preserve">Internal risk appetite</w:t>
            </w:r>
          </w:p>
        </w:tc>
        <w:tc>
          <w:tcPr/>
          <w:p>
            <w:pPr>
              <w:pStyle w:val="Compact"/>
              <w:jc w:val="left"/>
            </w:pPr>
            <w:r>
              <w:t xml:space="preserve">Industry classification, monitoring</w:t>
            </w:r>
          </w:p>
        </w:tc>
      </w:tr>
      <w:tr>
        <w:tc>
          <w:tcPr/>
          <w:p>
            <w:pPr>
              <w:pStyle w:val="Compact"/>
              <w:jc w:val="left"/>
            </w:pPr>
            <w:r>
              <w:t xml:space="preserve">Sovereign concentration</w:t>
            </w:r>
          </w:p>
        </w:tc>
        <w:tc>
          <w:tcPr/>
          <w:p>
            <w:pPr>
              <w:pStyle w:val="Compact"/>
              <w:jc w:val="left"/>
            </w:pPr>
            <w:r>
              <w:t xml:space="preserve">Regulatory and internal limits</w:t>
            </w:r>
          </w:p>
        </w:tc>
        <w:tc>
          <w:tcPr/>
          <w:p>
            <w:pPr>
              <w:pStyle w:val="Compact"/>
              <w:jc w:val="left"/>
            </w:pPr>
            <w:r>
              <w:t xml:space="preserve">Government, SOE, guaranteed aggregation</w:t>
            </w:r>
          </w:p>
        </w:tc>
      </w:tr>
    </w:tbl>
    <w:bookmarkEnd w:id="117"/>
    <w:bookmarkStart w:id="118" w:name="primary-dealer-obligations-if-applicable"/>
    <w:p>
      <w:pPr>
        <w:pStyle w:val="4"/>
      </w:pPr>
      <w:r>
        <w:t xml:space="preserve">6.1.3 Primary Dealer Obligations (if applicable)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System Support Required</w:t>
            </w:r>
          </w:p>
        </w:tc>
      </w:tr>
      <w:tr>
        <w:tc>
          <w:tcPr/>
          <w:p>
            <w:pPr>
              <w:pStyle w:val="Compact"/>
              <w:jc w:val="left"/>
            </w:pPr>
            <w:r>
              <w:t xml:space="preserve">Auction participation</w:t>
            </w:r>
          </w:p>
        </w:tc>
        <w:tc>
          <w:tcPr/>
          <w:p>
            <w:pPr>
              <w:pStyle w:val="Compact"/>
              <w:jc w:val="left"/>
            </w:pPr>
            <w:r>
              <w:t xml:space="preserve">Bid preparation, submission, allocation processing</w:t>
            </w:r>
          </w:p>
        </w:tc>
      </w:tr>
      <w:tr>
        <w:tc>
          <w:tcPr/>
          <w:p>
            <w:pPr>
              <w:pStyle w:val="Compact"/>
              <w:jc w:val="left"/>
            </w:pPr>
            <w:r>
              <w:t xml:space="preserve">Market making</w:t>
            </w:r>
          </w:p>
        </w:tc>
        <w:tc>
          <w:tcPr/>
          <w:p>
            <w:pPr>
              <w:pStyle w:val="Compact"/>
              <w:jc w:val="left"/>
            </w:pPr>
            <w:r>
              <w:t xml:space="preserve">Quote generation, distribution, performance tracking</w:t>
            </w:r>
          </w:p>
        </w:tc>
      </w:tr>
      <w:tr>
        <w:tc>
          <w:tcPr/>
          <w:p>
            <w:pPr>
              <w:pStyle w:val="Compact"/>
              <w:jc w:val="left"/>
            </w:pPr>
            <w:r>
              <w:t xml:space="preserve">Information provision</w:t>
            </w:r>
          </w:p>
        </w:tc>
        <w:tc>
          <w:tcPr/>
          <w:p>
            <w:pPr>
              <w:pStyle w:val="Compact"/>
              <w:jc w:val="left"/>
            </w:pPr>
            <w:r>
              <w:t xml:space="preserve">Yield quotations, market data submission to BOT/ThaiBMA</w:t>
            </w:r>
          </w:p>
        </w:tc>
      </w:tr>
      <w:tr>
        <w:tc>
          <w:tcPr/>
          <w:p>
            <w:pPr>
              <w:pStyle w:val="Compact"/>
              <w:jc w:val="left"/>
            </w:pPr>
            <w:r>
              <w:t xml:space="preserve">Inventory management</w:t>
            </w:r>
          </w:p>
        </w:tc>
        <w:tc>
          <w:tcPr/>
          <w:p>
            <w:pPr>
              <w:pStyle w:val="Compact"/>
              <w:jc w:val="left"/>
            </w:pPr>
            <w:r>
              <w:t xml:space="preserve">Position optimization, regulatory reporting</w:t>
            </w:r>
          </w:p>
        </w:tc>
      </w:tr>
    </w:tbl>
    <w:bookmarkEnd w:id="118"/>
    <w:bookmarkEnd w:id="119"/>
    <w:bookmarkStart w:id="122" w:name="X5b73fe78142a5832305cbb78399f0f53d6663d4"/>
    <w:p>
      <w:pPr>
        <w:pStyle w:val="3"/>
      </w:pPr>
      <w:r>
        <w:t xml:space="preserve">6.2 Securities and Exchange Commission (SEC) Requirements</w:t>
      </w:r>
    </w:p>
    <w:bookmarkStart w:id="120" w:name="X7eaecb1ba51f7dbc305bec52702399c09518178"/>
    <w:p>
      <w:pPr>
        <w:pStyle w:val="4"/>
      </w:pPr>
      <w:r>
        <w:t xml:space="preserve">6.2.1 Corporate Bond Disclosure and Transparency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Disclosure Trigger</w:t>
            </w:r>
          </w:p>
        </w:tc>
        <w:tc>
          <w:tcPr/>
          <w:p>
            <w:pPr>
              <w:pStyle w:val="Compact"/>
              <w:jc w:val="left"/>
            </w:pPr>
            <w:r>
              <w:rPr>
                <w:b/>
                <w:bCs/>
              </w:rPr>
              <w:t xml:space="preserve">Requirement</w:t>
            </w:r>
          </w:p>
        </w:tc>
        <w:tc>
          <w:tcPr/>
          <w:p>
            <w:pPr>
              <w:pStyle w:val="Compact"/>
              <w:jc w:val="left"/>
            </w:pPr>
            <w:r>
              <w:rPr>
                <w:b/>
                <w:bCs/>
              </w:rPr>
              <w:t xml:space="preserve">System Function</w:t>
            </w:r>
          </w:p>
        </w:tc>
      </w:tr>
      <w:tr>
        <w:tc>
          <w:tcPr/>
          <w:p>
            <w:pPr>
              <w:pStyle w:val="Compact"/>
              <w:jc w:val="left"/>
            </w:pPr>
            <w:r>
              <w:t xml:space="preserve">Material holding threshold</w:t>
            </w:r>
          </w:p>
        </w:tc>
        <w:tc>
          <w:tcPr/>
          <w:p>
            <w:pPr>
              <w:pStyle w:val="Compact"/>
              <w:jc w:val="left"/>
            </w:pPr>
            <w:r>
              <w:t xml:space="preserve">Notification to issuer, SEC</w:t>
            </w:r>
          </w:p>
        </w:tc>
        <w:tc>
          <w:tcPr/>
          <w:p>
            <w:pPr>
              <w:pStyle w:val="Compact"/>
              <w:jc w:val="left"/>
            </w:pPr>
            <w:r>
              <w:t xml:space="preserve">Automated threshold monitoring, form generation</w:t>
            </w:r>
          </w:p>
        </w:tc>
      </w:tr>
      <w:tr>
        <w:tc>
          <w:tcPr/>
          <w:p>
            <w:pPr>
              <w:pStyle w:val="Compact"/>
              <w:jc w:val="left"/>
            </w:pPr>
            <w:r>
              <w:t xml:space="preserve">Related-party transaction</w:t>
            </w:r>
          </w:p>
        </w:tc>
        <w:tc>
          <w:tcPr/>
          <w:p>
            <w:pPr>
              <w:pStyle w:val="Compact"/>
              <w:jc w:val="left"/>
            </w:pPr>
            <w:r>
              <w:t xml:space="preserve">Enhanced disclosure, board approval</w:t>
            </w:r>
          </w:p>
        </w:tc>
        <w:tc>
          <w:tcPr/>
          <w:p>
            <w:pPr>
              <w:pStyle w:val="Compact"/>
              <w:jc w:val="left"/>
            </w:pPr>
            <w:r>
              <w:t xml:space="preserve">Counterparty relationship flagging, workflow</w:t>
            </w:r>
          </w:p>
        </w:tc>
      </w:tr>
      <w:tr>
        <w:tc>
          <w:tcPr/>
          <w:p>
            <w:pPr>
              <w:pStyle w:val="Compact"/>
              <w:jc w:val="left"/>
            </w:pPr>
            <w:r>
              <w:t xml:space="preserve">Inside information</w:t>
            </w:r>
          </w:p>
        </w:tc>
        <w:tc>
          <w:tcPr/>
          <w:p>
            <w:pPr>
              <w:pStyle w:val="Compact"/>
              <w:jc w:val="left"/>
            </w:pPr>
            <w:r>
              <w:t xml:space="preserve">Restricted trading, disclosure</w:t>
            </w:r>
          </w:p>
        </w:tc>
        <w:tc>
          <w:tcPr/>
          <w:p>
            <w:pPr>
              <w:pStyle w:val="Compact"/>
              <w:jc w:val="left"/>
            </w:pPr>
            <w:r>
              <w:t xml:space="preserve">Information barrier management, watch lists</w:t>
            </w:r>
          </w:p>
        </w:tc>
      </w:tr>
    </w:tbl>
    <w:bookmarkEnd w:id="120"/>
    <w:bookmarkStart w:id="121" w:name="X7fa4558b8fe086c22c71b671746f5622b58605f"/>
    <w:p>
      <w:pPr>
        <w:pStyle w:val="4"/>
      </w:pPr>
      <w:r>
        <w:t xml:space="preserve">6.2.2 Investor Protection and Fair Dealing Standards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Standard</w:t>
            </w:r>
          </w:p>
        </w:tc>
        <w:tc>
          <w:tcPr/>
          <w:p>
            <w:pPr>
              <w:pStyle w:val="Compact"/>
              <w:jc w:val="left"/>
            </w:pPr>
            <w:r>
              <w:rPr>
                <w:b/>
                <w:bCs/>
              </w:rPr>
              <w:t xml:space="preserve">Implementation</w:t>
            </w:r>
          </w:p>
        </w:tc>
      </w:tr>
      <w:tr>
        <w:tc>
          <w:tcPr/>
          <w:p>
            <w:pPr>
              <w:pStyle w:val="Compact"/>
              <w:jc w:val="left"/>
            </w:pPr>
            <w:r>
              <w:t xml:space="preserve">Best execution</w:t>
            </w:r>
          </w:p>
        </w:tc>
        <w:tc>
          <w:tcPr/>
          <w:p>
            <w:pPr>
              <w:pStyle w:val="Compact"/>
              <w:jc w:val="left"/>
            </w:pPr>
            <w:r>
              <w:t xml:space="preserve">Order routing analysis, price improvement documentation</w:t>
            </w:r>
          </w:p>
        </w:tc>
      </w:tr>
      <w:tr>
        <w:tc>
          <w:tcPr/>
          <w:p>
            <w:pPr>
              <w:pStyle w:val="Compact"/>
              <w:jc w:val="left"/>
            </w:pPr>
            <w:r>
              <w:t xml:space="preserve">Suitability</w:t>
            </w:r>
          </w:p>
        </w:tc>
        <w:tc>
          <w:tcPr/>
          <w:p>
            <w:pPr>
              <w:pStyle w:val="Compact"/>
              <w:jc w:val="left"/>
            </w:pPr>
            <w:r>
              <w:t xml:space="preserve">Customer classification, product appropriateness (if customer-facing)</w:t>
            </w:r>
          </w:p>
        </w:tc>
      </w:tr>
      <w:tr>
        <w:tc>
          <w:tcPr/>
          <w:p>
            <w:pPr>
              <w:pStyle w:val="Compact"/>
              <w:jc w:val="left"/>
            </w:pPr>
            <w:r>
              <w:t xml:space="preserve">Conflicts of interest</w:t>
            </w:r>
          </w:p>
        </w:tc>
        <w:tc>
          <w:tcPr/>
          <w:p>
            <w:pPr>
              <w:pStyle w:val="Compact"/>
              <w:jc w:val="left"/>
            </w:pPr>
            <w:r>
              <w:t xml:space="preserve">Chinese walls, personal account dealing monitoring</w:t>
            </w:r>
          </w:p>
        </w:tc>
      </w:tr>
    </w:tbl>
    <w:bookmarkEnd w:id="121"/>
    <w:bookmarkEnd w:id="122"/>
    <w:bookmarkStart w:id="125" w:name="thaibma-market-conduct-rules"/>
    <w:p>
      <w:pPr>
        <w:pStyle w:val="3"/>
      </w:pPr>
      <w:r>
        <w:t xml:space="preserve">6.3 ThaiBMA Market Conduct Rules</w:t>
      </w:r>
    </w:p>
    <w:bookmarkStart w:id="123" w:name="market-making-and-quoting-obligations"/>
    <w:p>
      <w:pPr>
        <w:pStyle w:val="4"/>
      </w:pPr>
      <w:r>
        <w:t xml:space="preserve">6.3.1 Market Making and Quoting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Rule Element</w:t>
            </w:r>
          </w:p>
        </w:tc>
        <w:tc>
          <w:tcPr/>
          <w:p>
            <w:pPr>
              <w:pStyle w:val="Compact"/>
              <w:jc w:val="left"/>
            </w:pPr>
            <w:r>
              <w:rPr>
                <w:b/>
                <w:bCs/>
              </w:rPr>
              <w:t xml:space="preserve">Compliance Approach</w:t>
            </w:r>
          </w:p>
        </w:tc>
      </w:tr>
      <w:tr>
        <w:tc>
          <w:tcPr/>
          <w:p>
            <w:pPr>
              <w:pStyle w:val="Compact"/>
              <w:jc w:val="left"/>
            </w:pPr>
            <w:r>
              <w:t xml:space="preserve">Two-way quoting</w:t>
            </w:r>
          </w:p>
        </w:tc>
        <w:tc>
          <w:tcPr/>
          <w:p>
            <w:pPr>
              <w:pStyle w:val="Compact"/>
              <w:jc w:val="left"/>
            </w:pPr>
            <w:r>
              <w:t xml:space="preserve">Automated quote generation, monitoring, escalation if unable</w:t>
            </w:r>
          </w:p>
        </w:tc>
      </w:tr>
      <w:tr>
        <w:tc>
          <w:tcPr/>
          <w:p>
            <w:pPr>
              <w:pStyle w:val="Compact"/>
              <w:jc w:val="left"/>
            </w:pPr>
            <w:r>
              <w:t xml:space="preserve">Quote firmness</w:t>
            </w:r>
          </w:p>
        </w:tc>
        <w:tc>
          <w:tcPr/>
          <w:p>
            <w:pPr>
              <w:pStyle w:val="Compact"/>
              <w:jc w:val="left"/>
            </w:pPr>
            <w:r>
              <w:t xml:space="preserve">Time-stamped, honored within defined parameters</w:t>
            </w:r>
          </w:p>
        </w:tc>
      </w:tr>
      <w:tr>
        <w:tc>
          <w:tcPr/>
          <w:p>
            <w:pPr>
              <w:pStyle w:val="Compact"/>
              <w:jc w:val="left"/>
            </w:pPr>
            <w:r>
              <w:t xml:space="preserve">Spread maintenance</w:t>
            </w:r>
          </w:p>
        </w:tc>
        <w:tc>
          <w:tcPr/>
          <w:p>
            <w:pPr>
              <w:pStyle w:val="Compact"/>
              <w:jc w:val="left"/>
            </w:pPr>
            <w:r>
              <w:t xml:space="preserve">Within market convention, documented exceptions</w:t>
            </w:r>
          </w:p>
        </w:tc>
      </w:tr>
    </w:tbl>
    <w:bookmarkEnd w:id="123"/>
    <w:bookmarkStart w:id="124" w:name="trade-reporting-accuracy-and-timeliness"/>
    <w:p>
      <w:pPr>
        <w:pStyle w:val="4"/>
      </w:pPr>
      <w:r>
        <w:t xml:space="preserve">6.3.2 Trade Reporting Accuracy and Timeliness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System Implementation</w:t>
            </w:r>
          </w:p>
        </w:tc>
      </w:tr>
      <w:tr>
        <w:tc>
          <w:tcPr/>
          <w:p>
            <w:pPr>
              <w:pStyle w:val="Compact"/>
              <w:jc w:val="left"/>
            </w:pPr>
            <w:r>
              <w:t xml:space="preserve">30-minute reporting</w:t>
            </w:r>
          </w:p>
        </w:tc>
        <w:tc>
          <w:tcPr/>
          <w:p>
            <w:pPr>
              <w:pStyle w:val="Compact"/>
              <w:jc w:val="left"/>
            </w:pPr>
            <w:r>
              <w:t xml:space="preserve">Automated capture, validation, transmission with monitoring</w:t>
            </w:r>
          </w:p>
        </w:tc>
      </w:tr>
      <w:tr>
        <w:tc>
          <w:tcPr/>
          <w:p>
            <w:pPr>
              <w:pStyle w:val="Compact"/>
              <w:jc w:val="left"/>
            </w:pPr>
            <w:r>
              <w:t xml:space="preserve">Complete and accurate</w:t>
            </w:r>
          </w:p>
        </w:tc>
        <w:tc>
          <w:tcPr/>
          <w:p>
            <w:pPr>
              <w:pStyle w:val="Compact"/>
              <w:jc w:val="left"/>
            </w:pPr>
            <w:r>
              <w:t xml:space="preserve">Field validation, counterparty confirmation matching</w:t>
            </w:r>
          </w:p>
        </w:tc>
      </w:tr>
      <w:tr>
        <w:tc>
          <w:tcPr/>
          <w:p>
            <w:pPr>
              <w:pStyle w:val="Compact"/>
              <w:jc w:val="left"/>
            </w:pPr>
            <w:r>
              <w:t xml:space="preserve">Correction handling</w:t>
            </w:r>
          </w:p>
        </w:tc>
        <w:tc>
          <w:tcPr/>
          <w:p>
            <w:pPr>
              <w:pStyle w:val="Compact"/>
              <w:jc w:val="left"/>
            </w:pPr>
            <w:r>
              <w:t xml:space="preserve">Amendment workflow, audit trail, re-notification</w:t>
            </w:r>
          </w:p>
        </w:tc>
      </w:tr>
    </w:tbl>
    <w:bookmarkEnd w:id="124"/>
    <w:bookmarkEnd w:id="125"/>
    <w:bookmarkStart w:id="129" w:name="tax-compliance"/>
    <w:p>
      <w:pPr>
        <w:pStyle w:val="3"/>
      </w:pPr>
      <w:r>
        <w:t xml:space="preserve">6.4 Tax Compliance</w:t>
      </w:r>
    </w:p>
    <w:bookmarkStart w:id="126" w:name="Xb3a0616c74f4a7f0f107c819be1b2a6e8563bc7"/>
    <w:p>
      <w:pPr>
        <w:pStyle w:val="4"/>
      </w:pPr>
      <w:r>
        <w:t xml:space="preserve">6.4.1 Withholding Tax Calculation on Interest Income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Income Type</w:t>
            </w:r>
          </w:p>
        </w:tc>
        <w:tc>
          <w:tcPr/>
          <w:p>
            <w:pPr>
              <w:pStyle w:val="Compact"/>
              <w:jc w:val="left"/>
            </w:pPr>
            <w:r>
              <w:rPr>
                <w:b/>
                <w:bCs/>
              </w:rPr>
              <w:t xml:space="preserve">Withholding Rate</w:t>
            </w:r>
          </w:p>
        </w:tc>
        <w:tc>
          <w:tcPr/>
          <w:p>
            <w:pPr>
              <w:pStyle w:val="Compact"/>
              <w:jc w:val="left"/>
            </w:pPr>
            <w:r>
              <w:rPr>
                <w:b/>
                <w:bCs/>
              </w:rPr>
              <w:t xml:space="preserve">System Function</w:t>
            </w:r>
          </w:p>
        </w:tc>
      </w:tr>
      <w:tr>
        <w:tc>
          <w:tcPr/>
          <w:p>
            <w:pPr>
              <w:pStyle w:val="Compact"/>
              <w:jc w:val="left"/>
            </w:pPr>
            <w:r>
              <w:t xml:space="preserve">Government bond interest</w:t>
            </w:r>
          </w:p>
        </w:tc>
        <w:tc>
          <w:tcPr/>
          <w:p>
            <w:pPr>
              <w:pStyle w:val="Compact"/>
              <w:jc w:val="left"/>
            </w:pPr>
            <w:r>
              <w:t xml:space="preserve">Exempt or reduced per specific bond</w:t>
            </w:r>
          </w:p>
        </w:tc>
        <w:tc>
          <w:tcPr/>
          <w:p>
            <w:pPr>
              <w:pStyle w:val="Compact"/>
              <w:jc w:val="left"/>
            </w:pPr>
            <w:r>
              <w:t xml:space="preserve">Tax status tracking, exemption certificate</w:t>
            </w:r>
          </w:p>
        </w:tc>
      </w:tr>
      <w:tr>
        <w:tc>
          <w:tcPr/>
          <w:p>
            <w:pPr>
              <w:pStyle w:val="Compact"/>
              <w:jc w:val="left"/>
            </w:pPr>
            <w:r>
              <w:t xml:space="preserve">Corporate bond interest</w:t>
            </w:r>
          </w:p>
        </w:tc>
        <w:tc>
          <w:tcPr/>
          <w:p>
            <w:pPr>
              <w:pStyle w:val="Compact"/>
              <w:jc w:val="left"/>
            </w:pPr>
            <w:r>
              <w:t xml:space="preserve">15% standard (individuals); 1% juristic persons</w:t>
            </w:r>
          </w:p>
        </w:tc>
        <w:tc>
          <w:tcPr/>
          <w:p>
            <w:pPr>
              <w:pStyle w:val="Compact"/>
              <w:jc w:val="left"/>
            </w:pPr>
            <w:r>
              <w:t xml:space="preserve">Automated calculation, withholding, reporting</w:t>
            </w:r>
          </w:p>
        </w:tc>
      </w:tr>
      <w:tr>
        <w:tc>
          <w:tcPr/>
          <w:p>
            <w:pPr>
              <w:pStyle w:val="Compact"/>
              <w:jc w:val="left"/>
            </w:pPr>
            <w:r>
              <w:t xml:space="preserve">Foreign investor</w:t>
            </w:r>
          </w:p>
        </w:tc>
        <w:tc>
          <w:tcPr/>
          <w:p>
            <w:pPr>
              <w:pStyle w:val="Compact"/>
              <w:jc w:val="left"/>
            </w:pPr>
            <w:r>
              <w:t xml:space="preserve">Treaty rate or 15%</w:t>
            </w:r>
          </w:p>
        </w:tc>
        <w:tc>
          <w:tcPr/>
          <w:p>
            <w:pPr>
              <w:pStyle w:val="Compact"/>
              <w:jc w:val="left"/>
            </w:pPr>
            <w:r>
              <w:t xml:space="preserve">Tax residency verification, treaty claim support</w:t>
            </w:r>
          </w:p>
        </w:tc>
      </w:tr>
    </w:tbl>
    <w:bookmarkEnd w:id="126"/>
    <w:bookmarkStart w:id="127" w:name="X20e10c272ed48c91e4af1999ab773e10bf9fe86"/>
    <w:p>
      <w:pPr>
        <w:pStyle w:val="4"/>
      </w:pPr>
      <w:r>
        <w:t xml:space="preserve">6.4.2 Specific Business Tax (SBT) on Bond-Related Income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Activity</w:t>
            </w:r>
          </w:p>
        </w:tc>
        <w:tc>
          <w:tcPr/>
          <w:p>
            <w:pPr>
              <w:pStyle w:val="Compact"/>
              <w:jc w:val="left"/>
            </w:pPr>
            <w:r>
              <w:rPr>
                <w:b/>
                <w:bCs/>
              </w:rPr>
              <w:t xml:space="preserve">SBT Rate</w:t>
            </w:r>
          </w:p>
        </w:tc>
        <w:tc>
          <w:tcPr/>
          <w:p>
            <w:pPr>
              <w:pStyle w:val="Compact"/>
              <w:jc w:val="left"/>
            </w:pPr>
            <w:r>
              <w:rPr>
                <w:b/>
                <w:bCs/>
              </w:rPr>
              <w:t xml:space="preserve">Calculation Basis</w:t>
            </w:r>
          </w:p>
        </w:tc>
      </w:tr>
      <w:tr>
        <w:tc>
          <w:tcPr/>
          <w:p>
            <w:pPr>
              <w:pStyle w:val="Compact"/>
              <w:jc w:val="left"/>
            </w:pPr>
            <w:r>
              <w:t xml:space="preserve">Bond trading (banking license)</w:t>
            </w:r>
          </w:p>
        </w:tc>
        <w:tc>
          <w:tcPr/>
          <w:p>
            <w:pPr>
              <w:pStyle w:val="Compact"/>
              <w:jc w:val="left"/>
            </w:pPr>
            <w:r>
              <w:t xml:space="preserve">0.01%</w:t>
            </w:r>
          </w:p>
        </w:tc>
        <w:tc>
          <w:tcPr/>
          <w:p>
            <w:pPr>
              <w:pStyle w:val="Compact"/>
              <w:jc w:val="left"/>
            </w:pPr>
            <w:r>
              <w:t xml:space="preserve">Gross profit before expenses</w:t>
            </w:r>
          </w:p>
        </w:tc>
      </w:tr>
      <w:tr>
        <w:tc>
          <w:tcPr/>
          <w:p>
            <w:pPr>
              <w:pStyle w:val="Compact"/>
              <w:jc w:val="left"/>
            </w:pPr>
            <w:r>
              <w:t xml:space="preserve">Interest, discounts, fees</w:t>
            </w:r>
          </w:p>
        </w:tc>
        <w:tc>
          <w:tcPr/>
          <w:p>
            <w:pPr>
              <w:pStyle w:val="Compact"/>
              <w:jc w:val="left"/>
            </w:pPr>
            <w:r>
              <w:t xml:space="preserve">0.01%</w:t>
            </w:r>
          </w:p>
        </w:tc>
        <w:tc>
          <w:tcPr/>
          <w:p>
            <w:pPr>
              <w:pStyle w:val="Compact"/>
              <w:jc w:val="left"/>
            </w:pPr>
            <w:r>
              <w:t xml:space="preserve">Gross amount</w:t>
            </w:r>
          </w:p>
        </w:tc>
      </w:tr>
    </w:tbl>
    <w:p>
      <w:pPr>
        <w:pStyle w:val="a0"/>
      </w:pPr>
      <w:r>
        <w:rPr>
          <w:b/>
          <w:bCs/>
        </w:rPr>
        <w:t xml:space="preserve">System support</w:t>
      </w:r>
      <w:r>
        <w:t xml:space="preserve">: SBT accrual, return preparation, reconciliation with corporate income tax.</w:t>
      </w:r>
    </w:p>
    <w:bookmarkEnd w:id="127"/>
    <w:bookmarkStart w:id="128" w:name="X4f8800a5b1a75d0e11c7d973b683849f81e82c3"/>
    <w:p>
      <w:pPr>
        <w:pStyle w:val="4"/>
      </w:pPr>
      <w:r>
        <w:t xml:space="preserve">6.4.3 Repo Transaction Tax Treatment (Interest vs. Capital Gains)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Tax Characterization</w:t>
            </w:r>
          </w:p>
        </w:tc>
        <w:tc>
          <w:tcPr/>
          <w:p>
            <w:pPr>
              <w:pStyle w:val="Compact"/>
              <w:jc w:val="left"/>
            </w:pPr>
            <w:r>
              <w:rPr>
                <w:b/>
                <w:bCs/>
              </w:rPr>
              <w:t xml:space="preserve">Treatment</w:t>
            </w:r>
          </w:p>
        </w:tc>
        <w:tc>
          <w:tcPr/>
          <w:p>
            <w:pPr>
              <w:pStyle w:val="Compact"/>
              <w:jc w:val="left"/>
            </w:pPr>
            <w:r>
              <w:rPr>
                <w:b/>
                <w:bCs/>
              </w:rPr>
              <w:t xml:space="preserve">System Implementation</w:t>
            </w:r>
          </w:p>
        </w:tc>
      </w:tr>
      <w:tr>
        <w:tc>
          <w:tcPr/>
          <w:p>
            <w:pPr>
              <w:pStyle w:val="Compact"/>
              <w:jc w:val="left"/>
            </w:pPr>
            <w:r>
              <w:t xml:space="preserve">Repo interest/fee</w:t>
            </w:r>
          </w:p>
        </w:tc>
        <w:tc>
          <w:tcPr/>
          <w:p>
            <w:pPr>
              <w:pStyle w:val="Compact"/>
              <w:jc w:val="left"/>
            </w:pPr>
            <w:r>
              <w:t xml:space="preserve">Interest income/expense, ordinary rates</w:t>
            </w:r>
          </w:p>
        </w:tc>
        <w:tc>
          <w:tcPr/>
          <w:p>
            <w:pPr>
              <w:pStyle w:val="Compact"/>
              <w:jc w:val="left"/>
            </w:pPr>
            <w:r>
              <w:t xml:space="preserve">Accrual tracking, tax reporting</w:t>
            </w:r>
          </w:p>
        </w:tc>
      </w:tr>
      <w:tr>
        <w:tc>
          <w:tcPr/>
          <w:p>
            <w:pPr>
              <w:pStyle w:val="Compact"/>
              <w:jc w:val="left"/>
            </w:pPr>
            <w:r>
              <w:t xml:space="preserve">Manufactured payments</w:t>
            </w:r>
          </w:p>
        </w:tc>
        <w:tc>
          <w:tcPr/>
          <w:p>
            <w:pPr>
              <w:pStyle w:val="Compact"/>
              <w:jc w:val="left"/>
            </w:pPr>
            <w:r>
              <w:t xml:space="preserve">Pass-through, potential withholding</w:t>
            </w:r>
          </w:p>
        </w:tc>
        <w:tc>
          <w:tcPr/>
          <w:p>
            <w:pPr>
              <w:pStyle w:val="Compact"/>
              <w:jc w:val="left"/>
            </w:pPr>
            <w:r>
              <w:t xml:space="preserve">Tracking, documentation, reclaim</w:t>
            </w:r>
          </w:p>
        </w:tc>
      </w:tr>
      <w:tr>
        <w:tc>
          <w:tcPr/>
          <w:p>
            <w:pPr>
              <w:pStyle w:val="Compact"/>
              <w:jc w:val="left"/>
            </w:pPr>
            <w:r>
              <w:t xml:space="preserve">Capital gains on collateral</w:t>
            </w:r>
          </w:p>
        </w:tc>
        <w:tc>
          <w:tcPr/>
          <w:p>
            <w:pPr>
              <w:pStyle w:val="Compact"/>
              <w:jc w:val="left"/>
            </w:pPr>
            <w:r>
              <w:t xml:space="preserve">Not recognized (economic substance as financing)</w:t>
            </w:r>
          </w:p>
        </w:tc>
        <w:tc>
          <w:tcPr/>
          <w:p>
            <w:pPr>
              <w:pStyle w:val="Compact"/>
              <w:jc w:val="left"/>
            </w:pPr>
            <w:r>
              <w:t xml:space="preserve">Position tracking, gain/loss suppression</w:t>
            </w:r>
          </w:p>
        </w:tc>
      </w:tr>
    </w:tbl>
    <w:bookmarkEnd w:id="128"/>
    <w:bookmarkEnd w:id="129"/>
    <w:bookmarkEnd w:id="130"/>
    <w:bookmarkStart w:id="141" w:name="technical-architecture-considerations"/>
    <w:p>
      <w:pPr>
        <w:pStyle w:val="2"/>
      </w:pPr>
      <w:r>
        <w:t xml:space="preserve">7. Technical Architecture Considerations</w:t>
      </w:r>
    </w:p>
    <w:bookmarkStart w:id="133" w:name="system-scalability-and-performance"/>
    <w:p>
      <w:pPr>
        <w:pStyle w:val="3"/>
      </w:pPr>
      <w:r>
        <w:t xml:space="preserve">7.1 System Scalability and Performance</w:t>
      </w:r>
    </w:p>
    <w:bookmarkStart w:id="131" w:name="Xccfbcf221198ceb57446d63fe3033d22c1cfe0c"/>
    <w:p>
      <w:pPr>
        <w:pStyle w:val="4"/>
      </w:pPr>
      <w:r>
        <w:t xml:space="preserve">7.1.1 Low-Volume Optimization (≤25 T/day Design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Design Decision</w:t>
            </w:r>
          </w:p>
        </w:tc>
        <w:tc>
          <w:tcPr/>
          <w:p>
            <w:pPr>
              <w:pStyle w:val="Compact"/>
              <w:jc w:val="left"/>
            </w:pPr>
            <w:r>
              <w:rPr>
                <w:b/>
                <w:bCs/>
              </w:rPr>
              <w:t xml:space="preserve">Low-Volume Optimization</w:t>
            </w:r>
          </w:p>
        </w:tc>
        <w:tc>
          <w:tcPr/>
          <w:p>
            <w:pPr>
              <w:pStyle w:val="Compact"/>
              <w:jc w:val="left"/>
            </w:pPr>
            <w:r>
              <w:rPr>
                <w:b/>
                <w:bCs/>
              </w:rPr>
              <w:t xml:space="preserve">Future-Proofing</w:t>
            </w:r>
          </w:p>
        </w:tc>
      </w:tr>
      <w:tr>
        <w:tc>
          <w:tcPr/>
          <w:p>
            <w:pPr>
              <w:pStyle w:val="Compact"/>
              <w:jc w:val="left"/>
            </w:pPr>
            <w:r>
              <w:t xml:space="preserve">Database</w:t>
            </w:r>
          </w:p>
        </w:tc>
        <w:tc>
          <w:tcPr/>
          <w:p>
            <w:pPr>
              <w:pStyle w:val="Compact"/>
              <w:jc w:val="left"/>
            </w:pPr>
            <w:r>
              <w:t xml:space="preserve">Single-node RDBMS, full normalization</w:t>
            </w:r>
          </w:p>
        </w:tc>
        <w:tc>
          <w:tcPr/>
          <w:p>
            <w:pPr>
              <w:pStyle w:val="Compact"/>
              <w:jc w:val="left"/>
            </w:pPr>
            <w:r>
              <w:t xml:space="preserve">Partitioning strategy for growth</w:t>
            </w:r>
          </w:p>
        </w:tc>
      </w:tr>
      <w:tr>
        <w:tc>
          <w:tcPr/>
          <w:p>
            <w:pPr>
              <w:pStyle w:val="Compact"/>
              <w:jc w:val="left"/>
            </w:pPr>
            <w:r>
              <w:t xml:space="preserve">Application server</w:t>
            </w:r>
          </w:p>
        </w:tc>
        <w:tc>
          <w:tcPr/>
          <w:p>
            <w:pPr>
              <w:pStyle w:val="Compact"/>
              <w:jc w:val="left"/>
            </w:pPr>
            <w:r>
              <w:t xml:space="preserve">Single primary with warm standby</w:t>
            </w:r>
          </w:p>
        </w:tc>
        <w:tc>
          <w:tcPr/>
          <w:p>
            <w:pPr>
              <w:pStyle w:val="Compact"/>
              <w:jc w:val="left"/>
            </w:pPr>
            <w:r>
              <w:t xml:space="preserve">Horizontal scaling path if needed</w:t>
            </w:r>
          </w:p>
        </w:tc>
      </w:tr>
      <w:tr>
        <w:tc>
          <w:tcPr/>
          <w:p>
            <w:pPr>
              <w:pStyle w:val="Compact"/>
              <w:jc w:val="left"/>
            </w:pPr>
            <w:r>
              <w:t xml:space="preserve">Batch processing</w:t>
            </w:r>
          </w:p>
        </w:tc>
        <w:tc>
          <w:tcPr/>
          <w:p>
            <w:pPr>
              <w:pStyle w:val="Compact"/>
              <w:jc w:val="left"/>
            </w:pPr>
            <w:r>
              <w:t xml:space="preserve">Generous windows, thorough validation</w:t>
            </w:r>
          </w:p>
        </w:tc>
        <w:tc>
          <w:tcPr/>
          <w:p>
            <w:pPr>
              <w:pStyle w:val="Compact"/>
              <w:jc w:val="left"/>
            </w:pPr>
            <w:r>
              <w:t xml:space="preserve">Job scheduling, resource management</w:t>
            </w:r>
          </w:p>
        </w:tc>
      </w:tr>
      <w:tr>
        <w:tc>
          <w:tcPr/>
          <w:p>
            <w:pPr>
              <w:pStyle w:val="Compact"/>
              <w:jc w:val="left"/>
            </w:pPr>
            <w:r>
              <w:t xml:space="preserve">User interface</w:t>
            </w:r>
          </w:p>
        </w:tc>
        <w:tc>
          <w:tcPr/>
          <w:p>
            <w:pPr>
              <w:pStyle w:val="Compact"/>
              <w:jc w:val="left"/>
            </w:pPr>
            <w:r>
              <w:t xml:space="preserve">Rich, contextual, moderate latency</w:t>
            </w:r>
          </w:p>
        </w:tc>
        <w:tc>
          <w:tcPr/>
          <w:p>
            <w:pPr>
              <w:pStyle w:val="Compact"/>
              <w:jc w:val="left"/>
            </w:pPr>
            <w:r>
              <w:t xml:space="preserve">Responsive design, progressive enhancement</w:t>
            </w:r>
          </w:p>
        </w:tc>
      </w:tr>
    </w:tbl>
    <w:bookmarkEnd w:id="131"/>
    <w:bookmarkStart w:id="132" w:name="X72aece9db1543fa3ddc4dfb30a5c1539ff520b4"/>
    <w:p>
      <w:pPr>
        <w:pStyle w:val="4"/>
      </w:pPr>
      <w:r>
        <w:t xml:space="preserve">7.1.2 Modular Component Design for Future Expansion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Current Scope</w:t>
            </w:r>
          </w:p>
        </w:tc>
        <w:tc>
          <w:tcPr/>
          <w:p>
            <w:pPr>
              <w:pStyle w:val="Compact"/>
              <w:jc w:val="left"/>
            </w:pPr>
            <w:r>
              <w:rPr>
                <w:b/>
                <w:bCs/>
              </w:rPr>
              <w:t xml:space="preserve">Expansion Path</w:t>
            </w:r>
          </w:p>
        </w:tc>
      </w:tr>
      <w:tr>
        <w:tc>
          <w:tcPr/>
          <w:p>
            <w:pPr>
              <w:pStyle w:val="Compact"/>
              <w:jc w:val="left"/>
            </w:pPr>
            <w:r>
              <w:t xml:space="preserve">Trade execution</w:t>
            </w:r>
          </w:p>
        </w:tc>
        <w:tc>
          <w:tcPr/>
          <w:p>
            <w:pPr>
              <w:pStyle w:val="Compact"/>
              <w:jc w:val="left"/>
            </w:pPr>
            <w:r>
              <w:t xml:space="preserve">THB bonds, repos</w:t>
            </w:r>
          </w:p>
        </w:tc>
        <w:tc>
          <w:tcPr/>
          <w:p>
            <w:pPr>
              <w:pStyle w:val="Compact"/>
              <w:jc w:val="left"/>
            </w:pPr>
            <w:r>
              <w:t xml:space="preserve">FX, derivatives, multi-currency</w:t>
            </w:r>
          </w:p>
        </w:tc>
      </w:tr>
      <w:tr>
        <w:tc>
          <w:tcPr/>
          <w:p>
            <w:pPr>
              <w:pStyle w:val="Compact"/>
              <w:jc w:val="left"/>
            </w:pPr>
            <w:r>
              <w:t xml:space="preserve">Settlement</w:t>
            </w:r>
          </w:p>
        </w:tc>
        <w:tc>
          <w:tcPr/>
          <w:p>
            <w:pPr>
              <w:pStyle w:val="Compact"/>
              <w:jc w:val="left"/>
            </w:pPr>
            <w:r>
              <w:t xml:space="preserve">TSD, BAHTNET</w:t>
            </w:r>
          </w:p>
        </w:tc>
        <w:tc>
          <w:tcPr/>
          <w:p>
            <w:pPr>
              <w:pStyle w:val="Compact"/>
              <w:jc w:val="left"/>
            </w:pPr>
            <w:r>
              <w:t xml:space="preserve">Cross-border, CLS, DLT exploration</w:t>
            </w:r>
          </w:p>
        </w:tc>
      </w:tr>
      <w:tr>
        <w:tc>
          <w:tcPr/>
          <w:p>
            <w:pPr>
              <w:pStyle w:val="Compact"/>
              <w:jc w:val="left"/>
            </w:pPr>
            <w:r>
              <w:t xml:space="preserve">Accounting</w:t>
            </w:r>
          </w:p>
        </w:tc>
        <w:tc>
          <w:tcPr/>
          <w:p>
            <w:pPr>
              <w:pStyle w:val="Compact"/>
              <w:jc w:val="left"/>
            </w:pPr>
            <w:r>
              <w:t xml:space="preserve">TFRS 9</w:t>
            </w:r>
          </w:p>
        </w:tc>
        <w:tc>
          <w:tcPr/>
          <w:p>
            <w:pPr>
              <w:pStyle w:val="Compact"/>
              <w:jc w:val="left"/>
            </w:pPr>
            <w:r>
              <w:t xml:space="preserve">IFRS 17, new standards adoption</w:t>
            </w:r>
          </w:p>
        </w:tc>
      </w:tr>
      <w:tr>
        <w:tc>
          <w:tcPr/>
          <w:p>
            <w:pPr>
              <w:pStyle w:val="Compact"/>
              <w:jc w:val="left"/>
            </w:pPr>
            <w:r>
              <w:t xml:space="preserve">Reporting</w:t>
            </w:r>
          </w:p>
        </w:tc>
        <w:tc>
          <w:tcPr/>
          <w:p>
            <w:pPr>
              <w:pStyle w:val="Compact"/>
              <w:jc w:val="left"/>
            </w:pPr>
            <w:r>
              <w:t xml:space="preserve">Thai regulatory</w:t>
            </w:r>
          </w:p>
        </w:tc>
        <w:tc>
          <w:tcPr/>
          <w:p>
            <w:pPr>
              <w:pStyle w:val="Compact"/>
              <w:jc w:val="left"/>
            </w:pPr>
            <w:r>
              <w:t xml:space="preserve">Global regulatory, ESG integration</w:t>
            </w:r>
          </w:p>
        </w:tc>
      </w:tr>
    </w:tbl>
    <w:bookmarkEnd w:id="132"/>
    <w:bookmarkEnd w:id="133"/>
    <w:bookmarkStart w:id="137" w:name="security-and-controls"/>
    <w:p>
      <w:pPr>
        <w:pStyle w:val="3"/>
      </w:pPr>
      <w:r>
        <w:t xml:space="preserve">7.2 Security and Controls</w:t>
      </w:r>
    </w:p>
    <w:bookmarkStart w:id="134" w:name="X8c7e42ef93b40ed37978f7ed6bb618ea5ee4e0c"/>
    <w:p>
      <w:pPr>
        <w:pStyle w:val="4"/>
      </w:pPr>
      <w:r>
        <w:t xml:space="preserve">7.2.1 Role-Based Access Control (RBAC)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RBAC Layer</w:t>
            </w:r>
          </w:p>
        </w:tc>
        <w:tc>
          <w:tcPr/>
          <w:p>
            <w:pPr>
              <w:pStyle w:val="Compact"/>
              <w:jc w:val="left"/>
            </w:pPr>
            <w:r>
              <w:rPr>
                <w:b/>
                <w:bCs/>
              </w:rPr>
              <w:t xml:space="preserve">Enforcement Mechanism</w:t>
            </w:r>
          </w:p>
        </w:tc>
      </w:tr>
      <w:tr>
        <w:tc>
          <w:tcPr/>
          <w:p>
            <w:pPr>
              <w:pStyle w:val="Compact"/>
              <w:jc w:val="left"/>
            </w:pPr>
            <w:r>
              <w:t xml:space="preserve">Database</w:t>
            </w:r>
          </w:p>
        </w:tc>
        <w:tc>
          <w:tcPr/>
          <w:p>
            <w:pPr>
              <w:pStyle w:val="Compact"/>
              <w:jc w:val="left"/>
            </w:pPr>
            <w:r>
              <w:t xml:space="preserve">Row-level security, column encryption for sensitive data</w:t>
            </w:r>
          </w:p>
        </w:tc>
      </w:tr>
      <w:tr>
        <w:tc>
          <w:tcPr/>
          <w:p>
            <w:pPr>
              <w:pStyle w:val="Compact"/>
              <w:jc w:val="left"/>
            </w:pPr>
            <w:r>
              <w:t xml:space="preserve">Application</w:t>
            </w:r>
          </w:p>
        </w:tc>
        <w:tc>
          <w:tcPr/>
          <w:p>
            <w:pPr>
              <w:pStyle w:val="Compact"/>
              <w:jc w:val="left"/>
            </w:pPr>
            <w:r>
              <w:t xml:space="preserve">Function-level permissions, menu filtering, field-level access</w:t>
            </w:r>
          </w:p>
        </w:tc>
      </w:tr>
      <w:tr>
        <w:tc>
          <w:tcPr/>
          <w:p>
            <w:pPr>
              <w:pStyle w:val="Compact"/>
              <w:jc w:val="left"/>
            </w:pPr>
            <w:r>
              <w:t xml:space="preserve">Network</w:t>
            </w:r>
          </w:p>
        </w:tc>
        <w:tc>
          <w:tcPr/>
          <w:p>
            <w:pPr>
              <w:pStyle w:val="Compact"/>
              <w:jc w:val="left"/>
            </w:pPr>
            <w:r>
              <w:t xml:space="preserve">VLAN segmentation, VPN for remote access, intrusion detection</w:t>
            </w:r>
          </w:p>
        </w:tc>
      </w:tr>
      <w:tr>
        <w:tc>
          <w:tcPr/>
          <w:p>
            <w:pPr>
              <w:pStyle w:val="Compact"/>
              <w:jc w:val="left"/>
            </w:pPr>
            <w:r>
              <w:t xml:space="preserve">Physical</w:t>
            </w:r>
          </w:p>
        </w:tc>
        <w:tc>
          <w:tcPr/>
          <w:p>
            <w:pPr>
              <w:pStyle w:val="Compact"/>
              <w:jc w:val="left"/>
            </w:pPr>
            <w:r>
              <w:t xml:space="preserve">Data center access controls, environmental security</w:t>
            </w:r>
          </w:p>
        </w:tc>
      </w:tr>
    </w:tbl>
    <w:bookmarkEnd w:id="134"/>
    <w:bookmarkStart w:id="135" w:name="data-encryption-and-secure-messaging"/>
    <w:p>
      <w:pPr>
        <w:pStyle w:val="4"/>
      </w:pPr>
      <w:r>
        <w:t xml:space="preserve">7.2.2 Data Encryption and Secure Messaging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Data State</w:t>
            </w:r>
          </w:p>
        </w:tc>
        <w:tc>
          <w:tcPr/>
          <w:p>
            <w:pPr>
              <w:pStyle w:val="Compact"/>
              <w:jc w:val="left"/>
            </w:pPr>
            <w:r>
              <w:rPr>
                <w:b/>
                <w:bCs/>
              </w:rPr>
              <w:t xml:space="preserve">Protection</w:t>
            </w:r>
          </w:p>
        </w:tc>
      </w:tr>
      <w:tr>
        <w:tc>
          <w:tcPr/>
          <w:p>
            <w:pPr>
              <w:pStyle w:val="Compact"/>
              <w:jc w:val="left"/>
            </w:pPr>
            <w:r>
              <w:t xml:space="preserve">At rest</w:t>
            </w:r>
          </w:p>
        </w:tc>
        <w:tc>
          <w:tcPr/>
          <w:p>
            <w:pPr>
              <w:pStyle w:val="Compact"/>
              <w:jc w:val="left"/>
            </w:pPr>
            <w:r>
              <w:t xml:space="preserve">AES-256 encryption, key management (HSM)</w:t>
            </w:r>
          </w:p>
        </w:tc>
      </w:tr>
      <w:tr>
        <w:tc>
          <w:tcPr/>
          <w:p>
            <w:pPr>
              <w:pStyle w:val="Compact"/>
              <w:jc w:val="left"/>
            </w:pPr>
            <w:r>
              <w:t xml:space="preserve">In transit</w:t>
            </w:r>
          </w:p>
        </w:tc>
        <w:tc>
          <w:tcPr/>
          <w:p>
            <w:pPr>
              <w:pStyle w:val="Compact"/>
              <w:jc w:val="left"/>
            </w:pPr>
            <w:r>
              <w:t xml:space="preserve">TLS 1.3, certificate pinning for critical interfaces</w:t>
            </w:r>
          </w:p>
        </w:tc>
      </w:tr>
      <w:tr>
        <w:tc>
          <w:tcPr/>
          <w:p>
            <w:pPr>
              <w:pStyle w:val="Compact"/>
              <w:jc w:val="left"/>
            </w:pPr>
            <w:r>
              <w:t xml:space="preserve">In use</w:t>
            </w:r>
          </w:p>
        </w:tc>
        <w:tc>
          <w:tcPr/>
          <w:p>
            <w:pPr>
              <w:pStyle w:val="Compact"/>
              <w:jc w:val="left"/>
            </w:pPr>
            <w:r>
              <w:t xml:space="preserve">Memory encryption, secure enclaves for sensitive operations</w:t>
            </w:r>
          </w:p>
        </w:tc>
      </w:tr>
    </w:tbl>
    <w:bookmarkEnd w:id="135"/>
    <w:bookmarkStart w:id="136" w:name="Xbc67807f052793ca10aefa177e97b0abade5c4e"/>
    <w:p>
      <w:pPr>
        <w:pStyle w:val="4"/>
      </w:pPr>
      <w:r>
        <w:t xml:space="preserve">7.2.3 Disaster Recovery and Business Continuity Planning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Recovery Objective</w:t>
            </w:r>
          </w:p>
        </w:tc>
        <w:tc>
          <w:tcPr/>
          <w:p>
            <w:pPr>
              <w:pStyle w:val="Compact"/>
              <w:jc w:val="left"/>
            </w:pPr>
            <w:r>
              <w:rPr>
                <w:b/>
                <w:bCs/>
              </w:rPr>
              <w:t xml:space="preserve">Implementation</w:t>
            </w:r>
          </w:p>
        </w:tc>
      </w:tr>
      <w:tr>
        <w:tc>
          <w:tcPr/>
          <w:p>
            <w:pPr>
              <w:pStyle w:val="Compact"/>
              <w:jc w:val="left"/>
            </w:pPr>
            <w:r>
              <w:t xml:space="preserve">System failure</w:t>
            </w:r>
          </w:p>
        </w:tc>
        <w:tc>
          <w:tcPr/>
          <w:p>
            <w:pPr>
              <w:pStyle w:val="Compact"/>
              <w:jc w:val="left"/>
            </w:pPr>
            <w:r>
              <w:t xml:space="preserve">RTO: 4 hours, RPO: 1 hour</w:t>
            </w:r>
          </w:p>
        </w:tc>
        <w:tc>
          <w:tcPr/>
          <w:p>
            <w:pPr>
              <w:pStyle w:val="Compact"/>
              <w:jc w:val="left"/>
            </w:pPr>
            <w:r>
              <w:t xml:space="preserve">Hot standby, automatic failover</w:t>
            </w:r>
          </w:p>
        </w:tc>
      </w:tr>
      <w:tr>
        <w:tc>
          <w:tcPr/>
          <w:p>
            <w:pPr>
              <w:pStyle w:val="Compact"/>
              <w:jc w:val="left"/>
            </w:pPr>
            <w:r>
              <w:t xml:space="preserve">Site disaster</w:t>
            </w:r>
          </w:p>
        </w:tc>
        <w:tc>
          <w:tcPr/>
          <w:p>
            <w:pPr>
              <w:pStyle w:val="Compact"/>
              <w:jc w:val="left"/>
            </w:pPr>
            <w:r>
              <w:t xml:space="preserve">RTO: 24 hours, RPO: 4 hours</w:t>
            </w:r>
          </w:p>
        </w:tc>
        <w:tc>
          <w:tcPr/>
          <w:p>
            <w:pPr>
              <w:pStyle w:val="Compact"/>
              <w:jc w:val="left"/>
            </w:pPr>
            <w:r>
              <w:t xml:space="preserve">DR site, replication, runbook</w:t>
            </w:r>
          </w:p>
        </w:tc>
      </w:tr>
      <w:tr>
        <w:tc>
          <w:tcPr/>
          <w:p>
            <w:pPr>
              <w:pStyle w:val="Compact"/>
              <w:jc w:val="left"/>
            </w:pPr>
            <w:r>
              <w:t xml:space="preserve">Regional event</w:t>
            </w:r>
          </w:p>
        </w:tc>
        <w:tc>
          <w:tcPr/>
          <w:p>
            <w:pPr>
              <w:pStyle w:val="Compact"/>
              <w:jc w:val="left"/>
            </w:pPr>
            <w:r>
              <w:t xml:space="preserve">RTO: 72 hours, RPO: 24 hours</w:t>
            </w:r>
          </w:p>
        </w:tc>
        <w:tc>
          <w:tcPr/>
          <w:p>
            <w:pPr>
              <w:pStyle w:val="Compact"/>
              <w:jc w:val="left"/>
            </w:pPr>
            <w:r>
              <w:t xml:space="preserve">Alternative region, backup restoration</w:t>
            </w:r>
          </w:p>
        </w:tc>
      </w:tr>
    </w:tbl>
    <w:bookmarkEnd w:id="136"/>
    <w:bookmarkEnd w:id="137"/>
    <w:bookmarkStart w:id="140" w:name="audit-and-logging"/>
    <w:p>
      <w:pPr>
        <w:pStyle w:val="3"/>
      </w:pPr>
      <w:r>
        <w:t xml:space="preserve">7.3 Audit and Logging</w:t>
      </w:r>
    </w:p>
    <w:bookmarkStart w:id="138" w:name="X9cdf6392fd5ab40ef71194398f793031ccf9bc2"/>
    <w:p>
      <w:pPr>
        <w:pStyle w:val="4"/>
      </w:pPr>
      <w:r>
        <w:t xml:space="preserve">7.3.1 Comprehensive Transaction Logging (5-Year Retention per Thai Regulations)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Log Category</w:t>
            </w:r>
          </w:p>
        </w:tc>
        <w:tc>
          <w:tcPr/>
          <w:p>
            <w:pPr>
              <w:pStyle w:val="Compact"/>
              <w:jc w:val="left"/>
            </w:pPr>
            <w:r>
              <w:rPr>
                <w:b/>
                <w:bCs/>
              </w:rPr>
              <w:t xml:space="preserve">Content</w:t>
            </w:r>
          </w:p>
        </w:tc>
        <w:tc>
          <w:tcPr/>
          <w:p>
            <w:pPr>
              <w:pStyle w:val="Compact"/>
              <w:jc w:val="left"/>
            </w:pPr>
            <w:r>
              <w:rPr>
                <w:b/>
                <w:bCs/>
              </w:rPr>
              <w:t xml:space="preserve">Retention</w:t>
            </w:r>
          </w:p>
        </w:tc>
      </w:tr>
      <w:tr>
        <w:tc>
          <w:tcPr/>
          <w:p>
            <w:pPr>
              <w:pStyle w:val="Compact"/>
              <w:jc w:val="left"/>
            </w:pPr>
            <w:r>
              <w:t xml:space="preserve">User access</w:t>
            </w:r>
          </w:p>
        </w:tc>
        <w:tc>
          <w:tcPr/>
          <w:p>
            <w:pPr>
              <w:pStyle w:val="Compact"/>
              <w:jc w:val="left"/>
            </w:pPr>
            <w:r>
              <w:t xml:space="preserve">Login/logout, failed attempts, privilege escalation</w:t>
            </w:r>
          </w:p>
        </w:tc>
        <w:tc>
          <w:tcPr/>
          <w:p>
            <w:pPr>
              <w:pStyle w:val="Compact"/>
              <w:jc w:val="left"/>
            </w:pPr>
            <w:r>
              <w:t xml:space="preserve">5+ years</w:t>
            </w:r>
          </w:p>
        </w:tc>
      </w:tr>
      <w:tr>
        <w:tc>
          <w:tcPr/>
          <w:p>
            <w:pPr>
              <w:pStyle w:val="Compact"/>
              <w:jc w:val="left"/>
            </w:pPr>
            <w:r>
              <w:t xml:space="preserve">Data modification</w:t>
            </w:r>
          </w:p>
        </w:tc>
        <w:tc>
          <w:tcPr/>
          <w:p>
            <w:pPr>
              <w:pStyle w:val="Compact"/>
              <w:jc w:val="left"/>
            </w:pPr>
            <w:r>
              <w:t xml:space="preserve">Before/after values, user, timestamp, approval chain</w:t>
            </w:r>
          </w:p>
        </w:tc>
        <w:tc>
          <w:tcPr/>
          <w:p>
            <w:pPr>
              <w:pStyle w:val="Compact"/>
              <w:jc w:val="left"/>
            </w:pPr>
            <w:r>
              <w:t xml:space="preserve">5+ years</w:t>
            </w:r>
          </w:p>
        </w:tc>
      </w:tr>
      <w:tr>
        <w:tc>
          <w:tcPr/>
          <w:p>
            <w:pPr>
              <w:pStyle w:val="Compact"/>
              <w:jc w:val="left"/>
            </w:pPr>
            <w:r>
              <w:t xml:space="preserve">Transaction lifecycle</w:t>
            </w:r>
          </w:p>
        </w:tc>
        <w:tc>
          <w:tcPr/>
          <w:p>
            <w:pPr>
              <w:pStyle w:val="Compact"/>
              <w:jc w:val="left"/>
            </w:pPr>
            <w:r>
              <w:t xml:space="preserve">All states, system actions, external communications</w:t>
            </w:r>
          </w:p>
        </w:tc>
        <w:tc>
          <w:tcPr/>
          <w:p>
            <w:pPr>
              <w:pStyle w:val="Compact"/>
              <w:jc w:val="left"/>
            </w:pPr>
            <w:r>
              <w:t xml:space="preserve">5+ years</w:t>
            </w:r>
          </w:p>
        </w:tc>
      </w:tr>
      <w:tr>
        <w:tc>
          <w:tcPr/>
          <w:p>
            <w:pPr>
              <w:pStyle w:val="Compact"/>
              <w:jc w:val="left"/>
            </w:pPr>
            <w:r>
              <w:t xml:space="preserve">System events</w:t>
            </w:r>
          </w:p>
        </w:tc>
        <w:tc>
          <w:tcPr/>
          <w:p>
            <w:pPr>
              <w:pStyle w:val="Compact"/>
              <w:jc w:val="left"/>
            </w:pPr>
            <w:r>
              <w:t xml:space="preserve">Configuration changes, errors, performance metrics</w:t>
            </w:r>
          </w:p>
        </w:tc>
        <w:tc>
          <w:tcPr/>
          <w:p>
            <w:pPr>
              <w:pStyle w:val="Compact"/>
              <w:jc w:val="left"/>
            </w:pPr>
            <w:r>
              <w:t xml:space="preserve">3+ years operational, 5+ years summary</w:t>
            </w:r>
          </w:p>
        </w:tc>
      </w:tr>
    </w:tbl>
    <w:bookmarkEnd w:id="138"/>
    <w:bookmarkStart w:id="139" w:name="Xd578ef8ea8f7d01468bec500024326733ab2f5a"/>
    <w:p>
      <w:pPr>
        <w:pStyle w:val="4"/>
      </w:pPr>
      <w:r>
        <w:t xml:space="preserve">7.3.2 Immutable Audit Trail for Regulatory Examination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Immutability Mechanism</w:t>
            </w:r>
          </w:p>
        </w:tc>
        <w:tc>
          <w:tcPr/>
          <w:p>
            <w:pPr>
              <w:pStyle w:val="Compact"/>
              <w:jc w:val="left"/>
            </w:pPr>
            <w:r>
              <w:rPr>
                <w:b/>
                <w:bCs/>
              </w:rPr>
              <w:t xml:space="preserve">Implementation</w:t>
            </w:r>
          </w:p>
        </w:tc>
        <w:tc>
          <w:tcPr/>
          <w:p>
            <w:pPr>
              <w:pStyle w:val="Compact"/>
              <w:jc w:val="left"/>
            </w:pPr>
            <w:r>
              <w:rPr>
                <w:b/>
                <w:bCs/>
              </w:rPr>
              <w:t xml:space="preserve">Verification</w:t>
            </w:r>
          </w:p>
        </w:tc>
      </w:tr>
      <w:tr>
        <w:tc>
          <w:tcPr/>
          <w:p>
            <w:pPr>
              <w:pStyle w:val="Compact"/>
              <w:jc w:val="left"/>
            </w:pPr>
            <w:r>
              <w:t xml:space="preserve">Write-once media</w:t>
            </w:r>
          </w:p>
        </w:tc>
        <w:tc>
          <w:tcPr/>
          <w:p>
            <w:pPr>
              <w:pStyle w:val="Compact"/>
              <w:jc w:val="left"/>
            </w:pPr>
            <w:r>
              <w:t xml:space="preserve">Optical storage for archival</w:t>
            </w:r>
          </w:p>
        </w:tc>
        <w:tc>
          <w:tcPr/>
          <w:p>
            <w:pPr>
              <w:pStyle w:val="Compact"/>
              <w:jc w:val="left"/>
            </w:pPr>
            <w:r>
              <w:t xml:space="preserve">Physical media verification</w:t>
            </w:r>
          </w:p>
        </w:tc>
      </w:tr>
      <w:tr>
        <w:tc>
          <w:tcPr/>
          <w:p>
            <w:pPr>
              <w:pStyle w:val="Compact"/>
              <w:jc w:val="left"/>
            </w:pPr>
            <w:r>
              <w:t xml:space="preserve">Cryptographic hashing</w:t>
            </w:r>
          </w:p>
        </w:tc>
        <w:tc>
          <w:tcPr/>
          <w:p>
            <w:pPr>
              <w:pStyle w:val="Compact"/>
              <w:jc w:val="left"/>
            </w:pPr>
            <w:r>
              <w:t xml:space="preserve">Blockchain or Merkle tree structure</w:t>
            </w:r>
          </w:p>
        </w:tc>
        <w:tc>
          <w:tcPr/>
          <w:p>
            <w:pPr>
              <w:pStyle w:val="Compact"/>
              <w:jc w:val="left"/>
            </w:pPr>
            <w:r>
              <w:t xml:space="preserve">Hash chain validation</w:t>
            </w:r>
          </w:p>
        </w:tc>
      </w:tr>
      <w:tr>
        <w:tc>
          <w:tcPr/>
          <w:p>
            <w:pPr>
              <w:pStyle w:val="Compact"/>
              <w:jc w:val="left"/>
            </w:pPr>
            <w:r>
              <w:t xml:space="preserve">Third-party attestation</w:t>
            </w:r>
          </w:p>
        </w:tc>
        <w:tc>
          <w:tcPr/>
          <w:p>
            <w:pPr>
              <w:pStyle w:val="Compact"/>
              <w:jc w:val="left"/>
            </w:pPr>
            <w:r>
              <w:t xml:space="preserve">External audit, continuous monitoring</w:t>
            </w:r>
          </w:p>
        </w:tc>
        <w:tc>
          <w:tcPr/>
          <w:p>
            <w:pPr>
              <w:pStyle w:val="Compact"/>
              <w:jc w:val="left"/>
            </w:pPr>
            <w:r>
              <w:t xml:space="preserve">Independent verification reports</w:t>
            </w:r>
          </w:p>
        </w:tc>
      </w:tr>
    </w:tbl>
    <w:bookmarkEnd w:id="139"/>
    <w:bookmarkEnd w:id="140"/>
    <w:bookmarkEnd w:id="141"/>
    <w:bookmarkEnd w:id="1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2026-02-01T13:51:35Z</dcterms:created>
  <dcterms:modified xsi:type="dcterms:W3CDTF">2026-02-01T13:51:35Z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18223-f9e2-8415-8000-09b755d01c15-20260201135135","ReservedCode1":"","ContentPropagator":"001191110108MACG2KBH8F20000","PropagateID":"anonymous-19c18223-f9e2-8415-8000-09b755d01c15-20260201135135","ReservedCode2":""}</vt:lpwstr>
  </property>
</Properties>
</file>