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240"/>
        <w:jc w:val="center"/>
      </w:pPr>
      <w:r>
        <w:rPr>
          <w:b/>
          <w:bCs/>
          <w:color w:val="1F3864"/>
          <w:sz w:val="44"/>
          <w:szCs w:val="44"/>
        </w:rPr>
        <w:t xml:space="preserve">QUANTITATIVE MULTI-SLEEVE INVESTMENT PROGRAMME</w:t>
      </w:r>
    </w:p>
    <w:p>
      <w:pPr>
        <w:spacing w:after="240"/>
        <w:jc w:val="center"/>
      </w:pPr>
      <w:r>
        <w:rPr>
          <w:color w:val="2E75B6"/>
          <w:sz w:val="30"/>
          <w:szCs w:val="30"/>
        </w:rPr>
        <w:t xml:space="preserve">Implementation &amp; Testing Handbook — Thai Retail Edition</w:t>
      </w:r>
    </w:p>
    <w:p>
      <w:pPr>
        <w:spacing w:after="2400"/>
        <w:jc w:val="center"/>
      </w:pPr>
      <w:r>
        <w:rPr>
          <w:i/>
          <w:iCs/>
          <w:sz w:val="24"/>
          <w:szCs w:val="24"/>
        </w:rPr>
        <w:t xml:space="preserve">A research-grounded hedge-fund-style portfolio implementable on SET, TFEX and Thai fund platforms with small capital</w:t>
      </w:r>
    </w:p>
    <w:p>
      <w:pPr>
        <w:jc w:val="center"/>
      </w:pPr>
      <w:r>
        <w:rPr>
          <w:color w:val="595959"/>
          <w:sz w:val="22"/>
          <w:szCs w:val="22"/>
        </w:rPr>
        <w:t xml:space="preserve">Version 1.0  |  June 2026  |  Private working document</w:t>
      </w:r>
    </w:p>
    <w:p>
      <w:pPr>
        <w:jc w:val="center"/>
      </w:pPr>
      <w:r>
        <w:rPr>
          <w:color w:val="808080"/>
          <w:sz w:val="20"/>
          <w:szCs w:val="20"/>
        </w:rPr>
        <w:t xml:space="preserve">Prepared for personal investment governance. Not investment, legal or tax advice.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t xml:space="preserve">1. Programme Objectives and Design Principles</w:t>
      </w:r>
    </w:p>
    <w:p>
      <w:pPr>
        <w:pStyle w:val="Heading2"/>
      </w:pPr>
      <w:r>
        <w:t xml:space="preserve">1.1 Objective Statement</w:t>
      </w:r>
    </w:p>
    <w:p>
      <w:pPr>
        <w:spacing w:after="120"/>
      </w:pPr>
      <w:r>
        <w:t xml:space="preserve">Build and operate a personal investment programme that delivers hedge-fund-like portfolio characteristics — diversified return sources, explicit volatility targeting, and controlled drawdowns — using only instruments accessible to a Thai retail investor, executable from approximately THB 300,000 and scalable without structural change.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900"/>
        <w:gridCol w:w="3826"/>
      </w:tblGrid>
      <w:tr>
        <w:trPr>
          <w:tblHeader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Dimension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Target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Rationale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Return (long run, THB)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Cash + 4–6% p.a.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Equity risk premium plus diversifying premia, net of all costs and tax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Volatility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~10% annualised, actively targeted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Moreira &amp; Muir (2017): vol-managed exposure raises realised Sharpe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Maximum drawdown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Design limit 15–18%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Circuit breaker plus vol targeting; vs. 50%+ for unhedged equity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Sharpe ratio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0.6–1.0 net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Consistent with multi-sleeve alternative-beta portfolios in the literature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Crisis behaviour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Trend sleeve flat-to-positive in equity drawdowns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Hurst, Ooi &amp; Pedersen: trend positive in most historical crises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Operational load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≤ 2 hours/month after build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Monthly rebalance cycle; automation via existing Python stack</w:t>
            </w:r>
          </w:p>
        </w:tc>
      </w:tr>
    </w:tbl>
    <w:p>
      <w:pPr>
        <w:pStyle w:val="Heading2"/>
      </w:pPr>
      <w:r>
        <w:t xml:space="preserve">1.2 Design Principles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Alternative beta, not secret alpha. </w:t>
      </w:r>
      <w:r>
        <w:t xml:space="preserve">Hedge fund replication research (Hasanhodzic &amp; Lo 2007; Fung &amp; Hsieh factor models) shows most hedge fund return is harvestable risk premia: equity beta, trend, carry, volatility management. The programme harvests these directly at retail cost.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Simplicity as risk control. </w:t>
      </w:r>
      <w:r>
        <w:t xml:space="preserve">Every rule must be explainable in one sentence and survive a parameter-sensitivity plateau test. Complexity is only added when a simple rule demonstrably fails net of costs.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Costs are a first-class input. </w:t>
      </w:r>
      <w:r>
        <w:t xml:space="preserve">Prior S50 backtesting demonstrated that commission drag turns most intraday and high-frequency strategies net-negative. All testing uses actual broker fee schedules plus instrument-specific slippage assumptions.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Tax treatment is alpha. </w:t>
      </w:r>
      <w:r>
        <w:t xml:space="preserve">SET capital-gains exemption for individuals, RMF/SSF/ThaiESG deductions at the marginal rate, and fund-level wrappers are certain, riskless return enhancements and are exploited before any market risk is taken.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Stage gates, not enthusiasm. </w:t>
      </w:r>
      <w:r>
        <w:t xml:space="preserve">Each build phase ends with written exit criteria. Failure at a gate sends the work back, never forward. The system goes live at half size first.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Pre-committed governance. </w:t>
      </w:r>
      <w:r>
        <w:t xml:space="preserve">Parameters change only under conditions written down in advance (Chapter 11). A bad quarter is never a reason to change the system.</w:t>
      </w:r>
    </w:p>
    <w:p>
      <w:pPr>
        <w:pStyle w:val="Heading2"/>
      </w:pPr>
      <w:r>
        <w:t xml:space="preserve">1.3 Research Foundations</w:t>
      </w:r>
    </w:p>
    <w:p>
      <w:pPr>
        <w:spacing w:after="120"/>
      </w:pPr>
      <w:r>
        <w:t xml:space="preserve">Each sleeve is anchored to peer-reviewed or widely replicated research. The references below are the canonical sources used for signal definitions and expectations.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6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Component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Key references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Finding used in this programme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Equity risk premium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Dimson, Marsh &amp; Staunton (global returns yearbooks); Fama &amp; French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Equities deliver ~4–6% over cash over long horizons; the most reliable premium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Time-series momentum / trend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Moskowitz, Ooi &amp; Pedersen (2012, JFE); Hurst, Ooi &amp; Pedersen, 'A Century of Evidence on Trend-Following Investing' (AQR)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12-month trend signals positive in every decade since 1880 across asset classes; positive in most equity crises ('crisis alpha')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Volatility management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Moreira &amp; Muir (2017, Journal of Finance, 'Volatility-Managed Portfolios')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Scaling exposure inversely to recent realised vol raises Sharpe because vol is predictable, returns are not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Risk parity / leverage aversion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Asness, Frazzini &amp; Pedersen (2012, FAJ, 'Leverage Aversion and Risk Parity')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Balancing risk across asset classes beats concentrating in equities at equal risk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Hedge fund replication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Hasanhodzic &amp; Lo (2007); Fung &amp; Hsieh (2001, 2004)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Most hedge fund return is alternative beta; replicable with liquid instruments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Dual momentum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Antonacci (2014, 'Dual Momentum Investing')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Relative + absolute momentum overlay for the equity sleeve (optional extension, Phase 7+)</w:t>
            </w:r>
          </w:p>
        </w:tc>
      </w:tr>
    </w:tbl>
    <w:p>
      <w:pPr>
        <w:pStyle w:val="Heading2"/>
      </w:pPr>
      <w:r>
        <w:t xml:space="preserve">1.4 What This Programme Deliberately Excludes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High-turnover TFEX strategies (intraday, scalping, tight grids on S50): proven net-negative after commission drag in prior backtests at retail fee levels.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SET50 options premium selling: order book too thin beyond near-the-money front month; market-maker spreads widen precisely in stress.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Thai small-cap factor tilts: bid-offer and impact costs consume the academic premium at retail size.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Offshore brokerage accounts: post-2024 remittance taxation makes the domestic stack (SET DR/DRx, TFEX, Thai funds) structurally tax-superior for a Thai tax resident; revisit only if the proposed remittance exemption is enacted.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Crypto within this programme: managed separately under existing algorithmic trading activities; excluded here to keep the risk budget and governance clean.</w:t>
      </w:r>
    </w:p>
    <w:p>
      <w:pPr>
        <w:pStyle w:val="Heading1"/>
        <w:pageBreakBefore/>
      </w:pPr>
      <w:r>
        <w:t xml:space="preserve">2. Portfolio Architecture</w:t>
      </w:r>
    </w:p>
    <w:p>
      <w:pPr>
        <w:pStyle w:val="Heading2"/>
      </w:pPr>
      <w:r>
        <w:t xml:space="preserve">2.1 The Four Sleeves</w:t>
      </w:r>
    </w:p>
    <w:p>
      <w:pPr>
        <w:spacing w:after="120"/>
      </w:pPr>
      <w:r>
        <w:t xml:space="preserve">The portfolio is built from four sleeves with low mutual correlation. Strategic weights below are for the reference THB 1,000,000 portfolio; Chapter 2.4 gives the small-capital variants.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000"/>
        <w:gridCol w:w="2726"/>
        <w:gridCol w:w="1700"/>
        <w:gridCol w:w="1300"/>
      </w:tblGrid>
      <w:tr>
        <w:trPr>
          <w:tblHeader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Sleeve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Weight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Instruments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Return source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Role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A. Global + Thai equity beta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50%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SET-listed DRs/DRx (US, global, Asia), Thai index fund/ETF, RMF/SSF/ThaiESG feeder funds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Equity risk premium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Primary long-run growth engine; tax-wrapped core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B. Trend following (managed futures)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25% (risk capital)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TFEX: S50 Index Futures, Gold Online Futures, USD/THB Futures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Time-series momentum premium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Crisis diversifier; the 'hedge fund' sleeve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C. Defensive carry / ballast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20%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Thai money market fund + short-duration government bond fund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Cash/term premium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Yield, rebalancing dry powder, second-line margin reserve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D. Cash buffer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5%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Broker cash / savings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First-line TFEX margin buffer; operational float</w:t>
            </w:r>
          </w:p>
        </w:tc>
      </w:tr>
    </w:tbl>
    <w:p>
      <w:pPr>
        <w:pStyle w:val="Heading2"/>
      </w:pPr>
      <w:r>
        <w:t xml:space="preserve">2.2 Portfolio-Level Risk Overlay</w:t>
      </w:r>
    </w:p>
    <w:p>
      <w:pPr>
        <w:spacing w:after="120"/>
      </w:pPr>
      <w:r>
        <w:t xml:space="preserve">Two rules sit above all sleeves and override them.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Volatility targeting (Moreira–Muir overlay). </w:t>
      </w:r>
      <w:r>
        <w:t xml:space="preserve">Compute 60-day realised volatility of the total portfolio daily. Exposure multiplier m = min(1.0, σ_target / σ_realised) with σ_target = 10% annualised. Apply m by scaling the trend sleeve first (cheapest to adjust), then beta sleeve if m &lt; 0.7. Recompute monthly; intra-month only if σ_realised changes by more than 25%.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Drawdown circuit breaker. </w:t>
      </w:r>
      <w:r>
        <w:t xml:space="preserve">Track portfolio NAV high-water mark daily. If drawdown exceeds 15%, cut gross exposure by 50% within two trading days (close half of trend positions; do not sell tax-wrapped funds). Restore full exposure only after recovering half the drawdown (i.e., drawdown back inside 7.5%). This rule is mechanical and non-negotiable.</w:t>
      </w:r>
    </w:p>
    <w:p>
      <w:pPr>
        <w:pStyle w:val="Heading2"/>
      </w:pPr>
      <w:r>
        <w:t xml:space="preserve">2.3 Expected Behaviour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1900"/>
        <w:gridCol w:w="1500"/>
        <w:gridCol w:w="2026"/>
      </w:tblGrid>
      <w:tr>
        <w:trPr>
          <w:tblHeader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Scenario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Sleeve A (beta)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Sleeve B (trend)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Sleeve C+D</w:t>
            </w:r>
          </w:p>
        </w:tc>
        <w:tc>
          <w:tcPr>
            <w:tcW w:type="dxa" w:w="2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Portfolio design intent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Equity bull market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Strong positive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Long equities/gold per signal; positive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Cash yield</w:t>
            </w:r>
          </w:p>
        </w:tc>
        <w:tc>
          <w:tcPr>
            <w:tcW w:type="dxa" w:w="2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Captures most of upside at ~60–70% of equity vol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Sharp equity crash (2008/2020-type)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Negative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Goes short/flat S50; gold often positive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Stable; funds margin calls</w:t>
            </w:r>
          </w:p>
        </w:tc>
        <w:tc>
          <w:tcPr>
            <w:tcW w:type="dxa" w:w="2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Drawdown contained to roughly 1/3 of equity market fall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Rate shock (2022-type)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Mildly negative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Short bonds not available on TFEX; FX/gold legs carry the sleeve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Short duration limits damage</w:t>
            </w:r>
          </w:p>
        </w:tc>
        <w:tc>
          <w:tcPr>
            <w:tcW w:type="dxa" w:w="2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Grinding small losses; circuit breaker unlikely to trigger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THB stress / devaluation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Foreign-underlying DRs gain in THB terms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Long USD/THB futures per trend signal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Stable</w:t>
            </w:r>
          </w:p>
        </w:tc>
        <w:tc>
          <w:tcPr>
            <w:tcW w:type="dxa" w:w="2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Natural double hedge against domestic currency stress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Range-bound chop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Flat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Whipsaw losses (the cost of the trend premium)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Cash yield carries</w:t>
            </w:r>
          </w:p>
        </w:tc>
        <w:tc>
          <w:tcPr>
            <w:tcW w:type="dxa" w:w="2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Worst regime for the programme; expect small negative years occasionally</w:t>
            </w:r>
          </w:p>
        </w:tc>
      </w:tr>
    </w:tbl>
    <w:p>
      <w:pPr>
        <w:pStyle w:val="Heading2"/>
      </w:pPr>
      <w:r>
        <w:t xml:space="preserve">2.4 Capital Scaling Variants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900"/>
        <w:gridCol w:w="1900"/>
        <w:gridCol w:w="1000"/>
        <w:gridCol w:w="700"/>
        <w:gridCol w:w="1426"/>
      </w:tblGrid>
      <w:tr>
        <w:trPr>
          <w:tblHeader/>
        </w:trP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Capital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Sleeve A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Sleeve B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Sleeve C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Sleeve D</w:t>
            </w:r>
          </w:p>
        </w:tc>
        <w:tc>
          <w:tcPr>
            <w:tcW w:type="dxa" w:w="1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THB 300k (minimum viable)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55% via DRx (fractional) + funds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20%: S50 + Gold only, 1 contract granularity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20%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5%</w:t>
            </w:r>
          </w:p>
        </w:tc>
        <w:tc>
          <w:tcPr>
            <w:tcW w:type="dxa" w:w="1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USD/THB dropped: contract granularity cannot hit target risk; accept 2-market trend sleeve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THB 600k (recommended floor)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50%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25%: S50 + Gold + USD/THB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20%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5%</w:t>
            </w:r>
          </w:p>
        </w:tc>
        <w:tc>
          <w:tcPr>
            <w:tcW w:type="dxa" w:w="1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Full 3-market sleeve becomes properly sizable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THB 1,000k (reference)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50%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25%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20%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5%</w:t>
            </w:r>
          </w:p>
        </w:tc>
        <w:tc>
          <w:tcPr>
            <w:tcW w:type="dxa" w:w="1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All design targets achievable in whole contracts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THB 3,000k+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50%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25%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20%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5%</w:t>
            </w:r>
          </w:p>
        </w:tc>
        <w:tc>
          <w:tcPr>
            <w:tcW w:type="dxa" w:w="1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Consider adding 2nd-month diversification on rolls and Antonacci dual-momentum overlay on Sleeve A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2"/>
              <w:left w:val="single" w:color="2E75B6" w:sz="4"/>
              <w:bottom w:val="single" w:color="2E75B6" w:sz="4"/>
              <w:right w:val="single" w:color="2E75B6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</w:rPr>
              <w:t xml:space="preserve">Granularity rule for Sleeve B</w:t>
            </w:r>
          </w:p>
          <w:p>
            <w:pPr>
              <w:spacing w:after="60"/>
            </w:pPr>
            <w:r>
              <w:t xml:space="preserve">At any capital level, an instrument is included only if one futures contract represents no more than 1.5× its per-instrument risk budget. If a single contract overshoots the budget by more than 50%, drop the instrument rather than run it oversized.</w:t>
            </w:r>
          </w:p>
        </w:tc>
      </w:tr>
    </w:tbl>
    <w:p>
      <w:pPr>
        <w:pStyle w:val="Heading1"/>
        <w:pageBreakBefore/>
      </w:pPr>
      <w:r>
        <w:t xml:space="preserve">3. Market Access and Liquidity Audit</w:t>
      </w:r>
    </w:p>
    <w:p>
      <w:pPr>
        <w:spacing w:after="120"/>
      </w:pPr>
      <w:r>
        <w:t xml:space="preserve">Verified June 2026. Re-verify ADV figures during Phase 1 from the TFEX trading-statistics page and SET market data; record values in the parameter sheet (Appendix A).</w:t>
      </w:r>
    </w:p>
    <w:p>
      <w:pPr>
        <w:pStyle w:val="Heading2"/>
      </w:pPr>
      <w:r>
        <w:t xml:space="preserve">3.1 TFEX Derivatives (Sleeve B)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700"/>
        <w:gridCol w:w="2826"/>
        <w:gridCol w:w="1500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Instrument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Liquidity status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Operating rules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Slippage assumption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SET50 Index Futures (S50)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Excellent. Front month ~120k contracts/day; 2nd month ~9k; back months 1–2k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Trade front month; roll via calendar spread ~5 days pre-expiry on volume crossover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 tick per side; 1–2 ticks on rolls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Gold Online Futures (GO)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Good. Consistently a top TFEX product; night session active; USD gold price, THB settled, low equity correlation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Define the daily 'close' as the day-session settlement for signal purposes; execute in day session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1–2 ticks per side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USD/THB Futures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Adequate but the watch-list item. Small contract (USD 1,000) gives granularity; volume an order of magnitude below S50/GO; front-month concentration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Execute rebalances in the morning session; limit orders only; drop the instrument if cost-adjusted Sharpe of the leg is negative in Phase 2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2–3 ticks per side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SET50 Options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Thin beyond near-the-money front month; MM spreads widen in stress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EXCLUDED from the programme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pStyle w:val="Heading2"/>
      </w:pPr>
      <w:r>
        <w:t xml:space="preserve">3.2 SET-Listed Products (Sleeve A)</w:t>
      </w:r>
    </w:p>
    <w:p>
      <w:pPr>
        <w:spacing w:after="120"/>
      </w:pPr>
      <w:r>
        <w:t xml:space="preserve">The DR market has scaled materially: roughly THB 550 million average daily trading value across ~123 listed DRs (mid-2025, +125% y/y), market cap around THB 34 billion. Liquidity is market-maker-driven against iNAV, so effective depth exceeds screen volume; the real cost is the MM spread around iNAV plus the issuer fee embedded in the conversion ratio.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00"/>
        <w:gridCol w:w="3326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Product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Access &amp; liquidity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Operating rules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DRs (US/global/Asia underlyings)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MM-quoted vs iNAV; concentration in top names; long tail thin. Day session 10:00–16:30; night session 19:00–03:00 for US/EU underlyings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Buy only while the underlying market is open (night session for US/EU); limit orders anchored to issuer iNAV; screen for ADV &gt; THB 5–10m; check issuer fee in conversion ratio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DRx (fractional)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From 1 unit; separate Settrade DRx system and wallet; thinner books, narrower list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Use for accumulation below board-lot economics; consolidate into the standard DR line of the same underlying as positions grow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Thai equity ETFs (e.g., SET50 trackers)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Low screen volume but MM-supported at iNAV ± spread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Acceptable buy-and-hold; limit orders; a low-fee SET50 index mutual fund is an equivalent or better wrapper</w:t>
            </w:r>
          </w:p>
        </w:tc>
      </w:tr>
    </w:tbl>
    <w:p>
      <w:pPr>
        <w:pStyle w:val="Heading2"/>
      </w:pPr>
      <w:r>
        <w:t xml:space="preserve">3.3 Funds (Sleeves A core, C, and tax wrappers)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700"/>
        <w:gridCol w:w="3826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Vehicle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Liquidity / settlement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Operating rules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RMF / SSF / ThaiESG (global feeders)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NAV-based; redemption locked by wrapper rules (RMF to age 55); foreign feeders settle T+4 to T+6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Locked long-term core only. Never counted as liquidity reserve or margin backstop. Max annual contributions first — deduction at marginal rate is the highest-certainty return in the programme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Global feeder funds (unwrapped)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NAV-based; T+4 to T+6 redemption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Acceptable for Sleeve A overflow; compare TER across providers (0.3–1.0% p.a. dispersion compounds materially)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Money market fund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T+1 redemption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Primary liquidity reserve; second line of margin defence behind the cash buffer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Short-duration government bond fund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T+1 to T+2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Ballast yield; sized with MMF to cover peak stressed TFEX margin (see 3.4)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Direct government bonds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Savings bonds illiquid to maturity; secondary market institutional OTC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EXCLUDED — funds are the correct wrapper, not a compromise</w:t>
            </w:r>
          </w:p>
        </w:tc>
      </w:tr>
    </w:tbl>
    <w:p>
      <w:pPr>
        <w:pStyle w:val="Heading2"/>
      </w:pPr>
      <w:r>
        <w:t xml:space="preserve">3.4 The Margin-Collateral Question (Critical Phase 0 Item)</w:t>
      </w:r>
    </w:p>
    <w:p>
      <w:pPr>
        <w:spacing w:after="120"/>
      </w:pPr>
      <w:r>
        <w:t xml:space="preserve">Most Thai retail brokers require derivatives margin in cash; fund units are typically not eligible collateral. This determines the ballast/cash split: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Confirm in writing with the chosen broker whether MMF units or only cash are eligible for TFEX margin.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Size the 5% cash buffer against PEAK stressed initial margin: assume TFEX raises IM by 50% mid-crisis simultaneously with maximum sleeve position count, plus two days of adverse variation margin at 3× daily vol.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If cash-only: keep the 20/5 split but pre-authorise same-day MMF redemption instructions (T+1 arrival) as the documented second line. If the buffer computation exceeds 5% of capital, shift to a 15/10 split rather than risk forced liquidation of the beta sleeve.</w:t>
      </w:r>
    </w:p>
    <w:p>
      <w:pPr>
        <w:pStyle w:val="Heading1"/>
        <w:pageBreakBefore/>
      </w:pPr>
      <w:r>
        <w:t xml:space="preserve">4. Phase 0 — Accounts, Wrappers and Infrastructure (Week 1)</w:t>
      </w:r>
    </w:p>
    <w:p>
      <w:pPr>
        <w:spacing w:after="120"/>
      </w:pPr>
      <w:r>
        <w:t xml:space="preserve">Objective: every account open, funded, and round-trip tested; every cost parameter measured, not assumed. Nothing in later phases may rely on an estimated fee.</w:t>
      </w:r>
    </w:p>
    <w:p>
      <w:pPr>
        <w:pStyle w:val="Heading2"/>
      </w:pPr>
      <w:r>
        <w:t xml:space="preserve">4.1 Task List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Broker selection. </w:t>
      </w:r>
      <w:r>
        <w:t xml:space="preserve">Choose one broker offering both SET cash and TFEX derivatives accounts (single-broker simplifies funding and collateral). Selection criteria: TFEX commission per contract (negotiable above modest volume), SET commission tier, DR night-session access, quality of API or at minimum exportable daily statements, and the margin-collateral policy from Section 3.4.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Open accounts. </w:t>
      </w:r>
      <w:r>
        <w:t xml:space="preserve">SET cash account, TFEX derivatives account, Settrade DRx wallet (if the THB 300k variant applies), and fund trading access (broker fund-mart or direct with 1–2 asset managers).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Tax wrappers. </w:t>
      </w:r>
      <w:r>
        <w:t xml:space="preserve">Open RMF, SSF and ThaiESG positions with the asset manager offering the lowest-TER global index feeders. Compare at least three providers on TER, switching fees, and master-fund tracking difference. Record choices and TERs in Appendix A.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Ballast vehicles. </w:t>
      </w:r>
      <w:r>
        <w:t xml:space="preserve">Select one MMF (T+1) and one short-duration government bond fund. Confirm redemption cut-off times — a 12:00 cut-off vs 15:30 cut-off changes the margin-defence timeline by a day.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Fee schedule capture. </w:t>
      </w:r>
      <w:r>
        <w:t xml:space="preserve">Record the actual TFEX commission + exchange + clearing fee per contract per side for S50, GO and USD/THB futures, and the SET commission rate inclusive of VAT. These numbers feed directly into the Phase 2 cost model.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Live round-trip test. </w:t>
      </w:r>
      <w:r>
        <w:t xml:space="preserve">Execute one minimum-size round trip in each instrument: 1 contract S50 (open and close same day), 1 contract GO, 1 contract USD/THB, 1 board lot or small DR order, one small fund subscription. Record fill price vs prevailing bid/offer mid at order time — this is the first real slippage observation.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DR shortlist. </w:t>
      </w:r>
      <w:r>
        <w:t xml:space="preserve">Screen the DR universe for: ADV &gt; THB 5m, underlying matching target beta (one US/global index DR as core; optionally one Asia satellite), historical iNAV deviation tight and mean-reverting, issuer fee in the conversion ratio documented. Output: 4–6 names with one designated primary per exposure.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Margin policy confirmation. </w:t>
      </w:r>
      <w:r>
        <w:t xml:space="preserve">Obtain the broker's written answer on collateral eligibility (3.4) and TFEX IM/MM levels per contract as of today; note that TFEX revises margin with volatility.</w:t>
      </w:r>
    </w:p>
    <w:p>
      <w:pPr>
        <w:pStyle w:val="Heading2"/>
      </w:pPr>
      <w:r>
        <w:t xml:space="preserve">4.2 Documentation Deliverables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Account register: account numbers, platforms, funding rails, cut-off times.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Cost register: every fee from task 5–6 in one table (becomes Appendix A inputs).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DR shortlist memo: names, ADV, iNAV behaviour, issuer fees, designated primaries.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Margin policy note: broker collateral rules + current IM/MM per contract.</w:t>
      </w:r>
    </w:p>
    <w:p>
      <w:pPr>
        <w:pStyle w:val="Heading3"/>
      </w:pPr>
      <w:r>
        <w:t xml:space="preserve">Stage-Gate Exit Criteria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2"/>
              <w:left w:val="single" w:color="2E75B6" w:sz="4"/>
              <w:bottom w:val="single" w:color="2E75B6" w:sz="4"/>
              <w:right w:val="single" w:color="2E75B6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</w:rPr>
              <w:t xml:space="preserve">Do not advance to the next phase until ALL of the following are met:</w:t>
            </w:r>
          </w:p>
          <w:p>
            <w:pPr>
              <w:spacing w:after="60"/>
            </w:pPr>
            <w:r>
              <w:t xml:space="preserve">All accounts open and funded with at least the test amounts.</w:t>
            </w:r>
          </w:p>
          <w:p>
            <w:pPr>
              <w:spacing w:after="60"/>
            </w:pPr>
            <w:r>
              <w:t xml:space="preserve">One successful round trip executed and reconciled in each instrument class.</w:t>
            </w:r>
          </w:p>
          <w:p>
            <w:pPr>
              <w:spacing w:after="60"/>
            </w:pPr>
            <w:r>
              <w:t xml:space="preserve">Cost-per-round-trip documented per contract/product including observed test slippage.</w:t>
            </w:r>
          </w:p>
          <w:p>
            <w:pPr>
              <w:spacing w:after="60"/>
            </w:pPr>
            <w:r>
              <w:t xml:space="preserve">Broker margin-collateral policy confirmed in writing; cash buffer sized per 3.4.</w:t>
            </w:r>
          </w:p>
          <w:p>
            <w:pPr>
              <w:spacing w:after="60"/>
            </w:pPr>
            <w:r>
              <w:t xml:space="preserve">DR shortlist of 4–6 names completed with designated primaries.</w:t>
            </w:r>
          </w:p>
          <w:p>
            <w:pPr>
              <w:spacing w:after="60"/>
            </w:pPr>
            <w:r>
              <w:t xml:space="preserve">RMF/SSF/ThaiESG providers selected; first contributions scheduled (these may fund immediately — the tax sleeve does not wait for quant validation).</w:t>
            </w:r>
          </w:p>
        </w:tc>
      </w:tr>
    </w:tbl>
    <w:p>
      <w:pPr>
        <w:pStyle w:val="Heading1"/>
        <w:pageBreakBefore/>
      </w:pPr>
      <w:r>
        <w:t xml:space="preserve">5. Phase 1 — Data Layer (Weeks 1–2)</w:t>
      </w:r>
    </w:p>
    <w:p>
      <w:pPr>
        <w:spacing w:after="120"/>
      </w:pPr>
      <w:r>
        <w:t xml:space="preserve">Objective: ten-plus years of clean, roll-adjusted daily futures series and supporting benchmark series, with an automated validation suite. The roll methodology is the highest-risk step in the entire build: an incorrect adjustment fabricates or destroys trend P&amp;L silently.</w:t>
      </w:r>
    </w:p>
    <w:p>
      <w:pPr>
        <w:pStyle w:val="Heading2"/>
      </w:pPr>
      <w:r>
        <w:t xml:space="preserve">5.1 Required Series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200"/>
        <w:gridCol w:w="1300"/>
        <w:gridCol w:w="2826"/>
      </w:tblGrid>
      <w:tr>
        <w:trPr>
          <w:tblHeader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Series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Source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History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S50 futures, daily settlement, all listed expiries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TFEX historical data / existing Playwright scraper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≥ 10 years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Settlement price, volume, open interest per series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Gold Online futures, daily settlement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TFEX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Since product launch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Day-session settlement defined as official close for signals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USD/THB futures, daily settlement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TFEX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≥ 10 years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Front and second month sufficient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THOR / T-bill yield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BOT API (already integrated)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≥ 10 years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Cash benchmark and excess-return calculation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SET50 TRI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SET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≥ 10 years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Sleeve A Thai component simulation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Global equity index TRI (USD and THB-converted)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Public index data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≥ 10 years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Sleeve A global component simulation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USD/THB spot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BOT API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≥ 10 years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THB conversion and FX sanity checks vs futures</w:t>
            </w:r>
          </w:p>
        </w:tc>
      </w:tr>
    </w:tbl>
    <w:p>
      <w:pPr>
        <w:pStyle w:val="Heading2"/>
      </w:pPr>
      <w:r>
        <w:t xml:space="preserve">5.2 Continuous Contract Construction (Roll Methodology Specification)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Roll trigger: roll from front to second month on the first day the second month's volume exceeds the front month's, OR five trading days before expiry, whichever comes first.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Adjustment method: back-adjustment by the price difference (panama/difference method). On roll date, compute gap = P(new front) − P(old front) at settlement; add gap to ALL historical prices before the roll date. Returns are then computed on the adjusted series.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Maintain a roll log: date, old series, new series, both settlements, gap applied. The log is an auditable artefact and is re-used by the backtest cost model to charge roll transactions.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Never use ratio adjustment for these THB-denominated contracts (difference method preserves tick economics, which the cost model needs).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Rebuild the continuous series from raw data on every run rather than appending — appending hides upstream corrections.</w:t>
      </w:r>
    </w:p>
    <w:p>
      <w:pPr>
        <w:pStyle w:val="Heading2"/>
      </w:pPr>
      <w:r>
        <w:t xml:space="preserve">5.3 Validation Suite (Automated, Run on Every Data Refresh)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2826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Check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Rule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On failure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Gap detection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No missing trading days vs TFEX calendar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Investigate; forward-fill only with explicit flag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Stale print detection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Flag ≥ 3 identical consecutive settlements with non-zero volume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Manual review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Roll-jump check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Adjusted series must show no artificial jump at roll dates beyond the genuine market move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Re-derive gap from roll log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Spot-futures sanity (USD/THB)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Basis vs BOT spot within plausible carry band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Investigate data vendor error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Random reconciliation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10 random dates per instrument reconciled against TFEX official settlement pages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Any mismatch = full re-pull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Volume sanity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Front-month volume &gt; 0 every included day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Exclude or flag day</w:t>
            </w:r>
          </w:p>
        </w:tc>
      </w:tr>
    </w:tbl>
    <w:p>
      <w:pPr>
        <w:pStyle w:val="Heading3"/>
      </w:pPr>
      <w:r>
        <w:t xml:space="preserve">Stage-Gate Exit Criteria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2"/>
              <w:left w:val="single" w:color="2E75B6" w:sz="4"/>
              <w:bottom w:val="single" w:color="2E75B6" w:sz="4"/>
              <w:right w:val="single" w:color="2E75B6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</w:rPr>
              <w:t xml:space="preserve">Do not advance to the next phase until ALL of the following are met:</w:t>
            </w:r>
          </w:p>
          <w:p>
            <w:pPr>
              <w:spacing w:after="60"/>
            </w:pPr>
            <w:r>
              <w:t xml:space="preserve">≥ 10 years of validated back-adjusted daily series for each Sleeve B instrument.</w:t>
            </w:r>
          </w:p>
          <w:p>
            <w:pPr>
              <w:spacing w:after="60"/>
            </w:pPr>
            <w:r>
              <w:t xml:space="preserve">Roll log saved and version-controlled.</w:t>
            </w:r>
          </w:p>
          <w:p>
            <w:pPr>
              <w:spacing w:after="60"/>
            </w:pPr>
            <w:r>
              <w:t xml:space="preserve">Validation suite passes with zero unexplained flags.</w:t>
            </w:r>
          </w:p>
          <w:p>
            <w:pPr>
              <w:spacing w:after="60"/>
            </w:pPr>
            <w:r>
              <w:t xml:space="preserve">Benchmark series (THOR, SET50 TRI, global TRI, USD/THB spot) loaded and reconciled.</w:t>
            </w:r>
          </w:p>
        </w:tc>
      </w:tr>
    </w:tbl>
    <w:p>
      <w:pPr>
        <w:pStyle w:val="Heading1"/>
        <w:pageBreakBefore/>
      </w:pPr>
      <w:r>
        <w:t xml:space="preserve">6. Phase 2 — Trend Sleeve Backtest (Weeks 2–4)</w:t>
      </w:r>
    </w:p>
    <w:p>
      <w:pPr>
        <w:spacing w:after="120"/>
      </w:pPr>
      <w:r>
        <w:t xml:space="preserve">Objective: validate the academic baseline trend specification on TFEX instruments net of realistic costs, demonstrate crisis behaviour, and establish the parameter plateau. Nothing is optimised; the test is whether the published anomaly survives Thai retail frictions.</w:t>
      </w:r>
    </w:p>
    <w:p>
      <w:pPr>
        <w:pStyle w:val="Heading2"/>
      </w:pPr>
      <w:r>
        <w:t xml:space="preserve">6.1 Signal Specification (Baseline — Do Not Optimise)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Element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Specification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Signal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Sign of trailing 12-month (252 trading day) total return of the back-adjusted series, computed at month-end settlement. Also compute 3m and 6m signals for the ensemble robustness check.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Position rule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Two variants tested: (a) Long/Flat — long if signal positive, flat otherwise; (b) Long/Short — long if positive, short if negative. Short S50 margin and financing economics modelled explicitly.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Position sizing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Per-instrument constant-risk: each instrument targets an equal share of the sleeve risk budget (sleeve target vol 12% annualised on sleeve capital; ~5–7% per instrument depending on 2 or 3 instruments, before diversification).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Volatility estimator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60-day exponentially weighted (EWMA, λ = 0.94) realised volatility of daily returns of the adjusted series, annualised √252.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Contract count formula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 = round( (w_i × σ_target,i × Capital_sleeve) / (σ_i × PointValue_i × Price_i) ) — see Appendix B for worked examples.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Rebalance frequency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Monthly on the first trading day; intra-month action only if (a) a signal flips, or (b) the vol estimate moves &gt; 25% from the level used at last rebalance.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Rolls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Per the Phase 1 roll log; each roll charged as a full round trip at the roll-slippage assumption.</w:t>
            </w:r>
          </w:p>
        </w:tc>
      </w:tr>
    </w:tbl>
    <w:p>
      <w:pPr>
        <w:pStyle w:val="Heading2"/>
      </w:pPr>
      <w:r>
        <w:t xml:space="preserve">6.2 Cost Model</w:t>
      </w:r>
    </w:p>
    <w:p>
      <w:pPr>
        <w:spacing w:after="120"/>
      </w:pPr>
      <w:r>
        <w:t xml:space="preserve">Costs are charged on every simulated transaction including rolls. All values come from the Phase 0 cost register — no published averages.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300"/>
        <w:gridCol w:w="1700"/>
        <w:gridCol w:w="1900"/>
        <w:gridCol w:w="1626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Instrument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Commission + fees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Slippage (normal)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Slippage (rolls)</w:t>
            </w:r>
          </w:p>
        </w:tc>
        <w:tc>
          <w:tcPr>
            <w:tcW w:type="dxa" w:w="1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Forced round trips p.a.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S50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Actual broker schedule per side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 tick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1–2 ticks (calendar spread execution)</w:t>
            </w:r>
          </w:p>
        </w:tc>
        <w:tc>
          <w:tcPr>
            <w:tcW w:type="dxa" w:w="1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~12 (monthly roll cycle) + signal trades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Gold Online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Actual broker schedule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1–2 ticks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 ticks</w:t>
            </w:r>
          </w:p>
        </w:tc>
        <w:tc>
          <w:tcPr>
            <w:tcW w:type="dxa" w:w="1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~12 + signal trades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USD/THB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Actual broker schedule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2–3 ticks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3 ticks</w:t>
            </w:r>
          </w:p>
        </w:tc>
        <w:tc>
          <w:tcPr>
            <w:tcW w:type="dxa" w:w="1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~12 + signal trades</w:t>
            </w:r>
          </w:p>
        </w:tc>
      </w:tr>
    </w:tbl>
    <w:p>
      <w:pPr>
        <w:spacing w:after="120"/>
      </w:pPr>
      <w:r>
        <w:t xml:space="preserve">Report cost drag separately as % p.a. of sleeve capital. Budget expectation: 1–2% p.a. If modelled drag exceeds 2%, the prescribed responses are (in order): lengthen the signal lookback, widen the intra-month rebalance band, drop the weakest instrument. Never respond by adding complexity.</w:t>
      </w:r>
    </w:p>
    <w:p>
      <w:pPr>
        <w:pStyle w:val="Heading2"/>
      </w:pPr>
      <w:r>
        <w:t xml:space="preserve">6.3 Test Suite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 xml:space="preserve">Full-sample backtest </w:t>
      </w:r>
      <w:r>
        <w:t xml:space="preserve">per instrument and combined sleeve, 10+ years, both Long/Flat and Long/Short variants, gross and net of costs. Outputs: CAGR, vol, Sharpe (vs THOR), max DD, hit rate, turnover, cost drag.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 xml:space="preserve">Sub-period stability. </w:t>
      </w:r>
      <w:r>
        <w:t xml:space="preserve">Split the sample into rolling 3-year windows. The baseline has no fitted parameters, so this is robustness: the sleeve should be positive in a clear majority of windows with no single window dominating total P&amp;L.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 xml:space="preserve">Crisis-window isolation. </w:t>
      </w:r>
      <w:r>
        <w:t xml:space="preserve">Mandatory windows: 2008-proxy (if data reaches), 2013 taper tantrum, 2015–16 China/commodity stress, COVID Feb–Apr 2020, 2022 rate shock, plus the worst three SET50 drawdowns in sample. PASS requires the sleeve to be flat-to-positive in the majority of equity-crisis windows — this is the sleeve's reason to exist; a high Sharpe with failed crisis behaviour is a FAIL.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 xml:space="preserve">Sensitivity plateau. </w:t>
      </w:r>
      <w:r>
        <w:t xml:space="preserve">Grid: lookback {6m, 9m, 12m} × vol window {40d, 60d, 90d} × rebalance {monthly, monthly+band}. PASS requires results to form a flat plateau (no cell &gt; ~1.5× the Sharpe of its neighbours). A sharp peak indicates noise-fitting and mandates using the most conservative neighbouring cell.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 xml:space="preserve">Granularity feasibility. </w:t>
      </w:r>
      <w:r>
        <w:t xml:space="preserve">Re-run the combined sleeve at sleeve capital of THB 60k/150k/250k (the 20–25% of 300k/600k/1,000k totals) with integer contract constraints. Document realised vs target vol per level and confirm the Chapter 2.4 instrument inclusion decisions.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 xml:space="preserve">Execution-timing robustness. </w:t>
      </w:r>
      <w:r>
        <w:t xml:space="preserve">Re-run with signals executed at next-day open instead of same-day settlement. Result should degrade only marginally; large degradation indicates look-ahead bias in the framework.</w:t>
      </w:r>
    </w:p>
    <w:p>
      <w:pPr>
        <w:pStyle w:val="Heading2"/>
      </w:pPr>
      <w:r>
        <w:t xml:space="preserve">6.4 Implementation Notes (Python)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Build inside the existing data engine: continuous-series builder (Phase 1) → signal module → sizing module → cost engine consuming the roll log → reporting notebook producing the standard output table per run.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Every run writes a config hash + results row to a results register, so the sensitivity grid and any future re-runs are reproducible and comparable.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Unit tests: signal sign on synthetic monotonic series; sizing formula vs hand-computed Appendix B examples; cost engine charges exactly 2 sides per roll-log entry.</w:t>
      </w:r>
    </w:p>
    <w:p>
      <w:pPr>
        <w:pStyle w:val="Heading3"/>
      </w:pPr>
      <w:r>
        <w:t xml:space="preserve">Stage-Gate Exit Criteria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2"/>
              <w:left w:val="single" w:color="2E75B6" w:sz="4"/>
              <w:bottom w:val="single" w:color="2E75B6" w:sz="4"/>
              <w:right w:val="single" w:color="2E75B6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</w:rPr>
              <w:t xml:space="preserve">Do not advance to the next phase until ALL of the following are met:</w:t>
            </w:r>
          </w:p>
          <w:p>
            <w:pPr>
              <w:spacing w:after="60"/>
            </w:pPr>
            <w:r>
              <w:t xml:space="preserve">Combined sleeve net Sharpe ≥ 0.4 (vs THOR) over the full sample in the selected variant.</w:t>
            </w:r>
          </w:p>
          <w:p>
            <w:pPr>
              <w:spacing w:after="60"/>
            </w:pPr>
            <w:r>
              <w:t xml:space="preserve">Crisis-window test PASSED (flat-to-positive in majority of equity-crisis windows).</w:t>
            </w:r>
          </w:p>
          <w:p>
            <w:pPr>
              <w:spacing w:after="60"/>
            </w:pPr>
            <w:r>
              <w:t xml:space="preserve">Sensitivity grid shows a plateau, not a peak; selected cell documented with rationale.</w:t>
            </w:r>
          </w:p>
          <w:p>
            <w:pPr>
              <w:spacing w:after="60"/>
            </w:pPr>
            <w:r>
              <w:t xml:space="preserve">Cost drag ≤ 2% p.a. of sleeve capital at the intended capital level.</w:t>
            </w:r>
          </w:p>
          <w:p>
            <w:pPr>
              <w:spacing w:after="60"/>
            </w:pPr>
            <w:r>
              <w:t xml:space="preserve">Granularity test confirms instrument set for the actual capital level (2- or 3-market sleeve).</w:t>
            </w:r>
          </w:p>
          <w:p>
            <w:pPr>
              <w:spacing w:after="60"/>
            </w:pPr>
            <w:r>
              <w:t xml:space="preserve">Execution-timing robustness check passed (no material same-day dependence).</w:t>
            </w:r>
          </w:p>
        </w:tc>
      </w:tr>
    </w:tbl>
    <w:p>
      <w:pPr>
        <w:pStyle w:val="Heading1"/>
        <w:pageBreakBefore/>
      </w:pPr>
      <w:r>
        <w:t xml:space="preserve">7. Phase 3 — Full Portfolio Simulation (Weeks 4–5)</w:t>
      </w:r>
    </w:p>
    <w:p>
      <w:pPr>
        <w:spacing w:after="120"/>
      </w:pPr>
      <w:r>
        <w:t xml:space="preserve">Objective: combine all four sleeves with the risk overlay and prove the portfolio's stress behaviour, margin adequacy, and drawdown profile before any live order.</w:t>
      </w:r>
    </w:p>
    <w:p>
      <w:pPr>
        <w:pStyle w:val="Heading2"/>
      </w:pPr>
      <w:r>
        <w:t xml:space="preserve">7.1 Simulation Construction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Sleeve A proxy: 60/40 blend of global equity TRI (THB-converted) and SET50 TRI, less the recorded feeder-fund TERs.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Sleeve B: the Phase 2 net-of-cost backtest equity curve (the selected variant and instrument set).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Sleeve C: short bond fund proxy (Thai short-duration government bond index less fund TER) and MMF at THOR less fees.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Sleeve D: cash at THOR.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Combine at strategic weights with monthly rebalancing; charge SET commissions on simulated Sleeve A rebalance trades.</w:t>
      </w:r>
    </w:p>
    <w:p>
      <w:pPr>
        <w:pStyle w:val="Heading2"/>
      </w:pPr>
      <w:r>
        <w:t xml:space="preserve">7.2 Overlay Rules Applied in Simulation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Volatility targeting: m = min(1.0, 10% / σ_60d,portfolio), recomputed monthly with the 25% intra-month band, scaling Sleeve B first then Sleeve A below m = 0.7.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Circuit breaker: −15% portfolio drawdown halves gross exposure (trend positions first); restore at −7.5%. Log every trigger with dates and P&amp;L impact.</w:t>
      </w:r>
    </w:p>
    <w:p>
      <w:pPr>
        <w:pStyle w:val="Heading2"/>
      </w:pPr>
      <w:r>
        <w:t xml:space="preserve">7.3 Stress Scenarios (Pass/Fail, Not Informational)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3726"/>
      </w:tblGrid>
      <w:tr>
        <w:trPr>
          <w:tblHeader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Scenario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Shock definition</w:t>
            </w:r>
          </w:p>
        </w:tc>
        <w:tc>
          <w:tcPr>
            <w:tcW w:type="dxa" w:w="3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Pass condition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1997-style THB crisis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THB −40% over 6 months; SET −50%; rates +800bp; TFEX IM +100%</w:t>
            </w:r>
          </w:p>
        </w:tc>
        <w:tc>
          <w:tcPr>
            <w:tcW w:type="dxa" w:w="3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USD/THB and gold trend legs offset; margin never exhausts cash + T+1 MMF line; no forced Sleeve A sale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2008-style global crash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Global equity −45% over 9 months; SET50 −50%; gold +15%</w:t>
            </w:r>
          </w:p>
        </w:tc>
        <w:tc>
          <w:tcPr>
            <w:tcW w:type="dxa" w:w="3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Portfolio max DD ≤ 18%; trend sleeve positive contribution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COVID-style gap crash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SET50 −30% in 25 trading days with one −10% day; IM raised 50% overnight</w:t>
            </w:r>
          </w:p>
        </w:tc>
        <w:tc>
          <w:tcPr>
            <w:tcW w:type="dxa" w:w="3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Circuit breaker fires correctly; variation margin covered without fund liquidation inside T+1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2022-style rate shock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Global equity −20%, bonds −10% over 9 months, gold flat</w:t>
            </w:r>
          </w:p>
        </w:tc>
        <w:tc>
          <w:tcPr>
            <w:tcW w:type="dxa" w:w="3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Portfolio DD ≤ 12%; ballast losses within short-duration expectations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Whipsaw year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Six full trend reversals, flat indices</w:t>
            </w:r>
          </w:p>
        </w:tc>
        <w:tc>
          <w:tcPr>
            <w:tcW w:type="dxa" w:w="3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Sleeve B annual loss ≤ 1.5× its target vol; portfolio loss ≤ 6%</w:t>
            </w:r>
          </w:p>
        </w:tc>
      </w:tr>
    </w:tbl>
    <w:p>
      <w:pPr>
        <w:pStyle w:val="Heading2"/>
      </w:pPr>
      <w:r>
        <w:t xml:space="preserve">7.4 Margin Adequacy Model</w:t>
      </w:r>
    </w:p>
    <w:p>
      <w:pPr>
        <w:spacing w:after="120"/>
      </w:pPr>
      <w:r>
        <w:t xml:space="preserve">For every simulation day compute: required IM (contracts × stressed IM per contract) + 2-day adverse VM at 3× prevailing daily vol. Compare against cash buffer + same-day-instructed MMF (arriving T+1). The binding metric is the worst single-day gap; it must be ≤ 0 across all scenarios.</w:t>
      </w:r>
    </w:p>
    <w:p>
      <w:pPr>
        <w:pStyle w:val="Heading3"/>
      </w:pPr>
      <w:r>
        <w:t xml:space="preserve">Stage-Gate Exit Criteria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2"/>
              <w:left w:val="single" w:color="2E75B6" w:sz="4"/>
              <w:bottom w:val="single" w:color="2E75B6" w:sz="4"/>
              <w:right w:val="single" w:color="2E75B6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</w:rPr>
              <w:t xml:space="preserve">Do not advance to the next phase until ALL of the following are met:</w:t>
            </w:r>
          </w:p>
          <w:p>
            <w:pPr>
              <w:spacing w:after="60"/>
            </w:pPr>
            <w:r>
              <w:t xml:space="preserve">Simulated full-period Sharpe ≥ 0.6 net; max drawdown ≤ 18%.</w:t>
            </w:r>
          </w:p>
          <w:p>
            <w:pPr>
              <w:spacing w:after="60"/>
            </w:pPr>
            <w:r>
              <w:t xml:space="preserve">All five stress scenarios PASS, including margin adequacy with no forced Sleeve A liquidation.</w:t>
            </w:r>
          </w:p>
          <w:p>
            <w:pPr>
              <w:spacing w:after="60"/>
            </w:pPr>
            <w:r>
              <w:t xml:space="preserve">Circuit breaker and vol-targeting logs reviewed; trigger behaviour matches specification exactly.</w:t>
            </w:r>
          </w:p>
          <w:p>
            <w:pPr>
              <w:spacing w:after="60"/>
            </w:pPr>
            <w:r>
              <w:t xml:space="preserve">Final strategic weights and the cash/ballast split (20/5 or 15/10 per Section 3.4) locked and recorded in Appendix A.</w:t>
            </w:r>
          </w:p>
        </w:tc>
      </w:tr>
    </w:tbl>
    <w:p>
      <w:pPr>
        <w:pStyle w:val="Heading1"/>
        <w:pageBreakBefore/>
      </w:pPr>
      <w:r>
        <w:t xml:space="preserve">8. Phase 4 — Paper Trading (Weeks 5–9, Minimum 4 Weeks)</w:t>
      </w:r>
    </w:p>
    <w:p>
      <w:pPr>
        <w:spacing w:after="120"/>
      </w:pPr>
      <w:r>
        <w:t xml:space="preserve">Objective: prove operations, not returns. Four weeks of flawless mechanical execution of the real daily/monthly cycle on live data, with every order logged as if real.</w:t>
      </w:r>
    </w:p>
    <w:p>
      <w:pPr>
        <w:pStyle w:val="Heading2"/>
      </w:pPr>
      <w:r>
        <w:t xml:space="preserve">8.1 Daily Cycle (Automated Job + 5-Minute Human Review)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Ingest settlements (TFEX) and NAVs/iNAVs after close; run the Phase 1 validation suite incrementally.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Recompute vol estimates, signals, target positions, overlay multiplier m, drawdown vs high-water mark.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Emit the Daily Sheet: current vs target positions, any action required tomorrow, margin utilisation vs buffer, circuit-breaker distance.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Human review: confirm or reject any action item. Log the decision.</w:t>
      </w:r>
    </w:p>
    <w:p>
      <w:pPr>
        <w:pStyle w:val="Heading2"/>
      </w:pPr>
      <w:r>
        <w:t xml:space="preserve">8.2 Order Simulation Protocol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Generate real order tickets (instrument, side, quantity, limit price anchored to the rule) at the scheduled execution time; record the live bid/offer at that moment and the assumed fill.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If the broker provides a paper/demo TFEX environment, execute there; otherwise shadow-log against observed quotes.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Execute at least one full roll cycle per instrument during the paper period — rolls are the highest-risk recurring operation.</w:t>
      </w:r>
    </w:p>
    <w:p>
      <w:pPr>
        <w:pStyle w:val="Heading2"/>
      </w:pPr>
      <w:r>
        <w:t xml:space="preserve">8.3 Reconciliation and Error Taxonomy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026"/>
      </w:tblGrid>
      <w:tr>
        <w:trPr>
          <w:tblHeader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Error class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Definition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Tolerance in 4-week window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Signal error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Computed signal differs from independent recheck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Zero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Missed action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Required trade/roll not ticketed on schedule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Zero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Slippage breach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Assumed fill worse than model by &gt; 1.5 ticks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≤ 2 occurrences, both explained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Data fault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Validation suite failure not caught before signal run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Zero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Process deviation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Any manual step performed out of order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≤ 1, with checklist fix deployed</w:t>
            </w:r>
          </w:p>
        </w:tc>
      </w:tr>
    </w:tbl>
    <w:p>
      <w:pPr>
        <w:pStyle w:val="Heading3"/>
      </w:pPr>
      <w:r>
        <w:t xml:space="preserve">Stage-Gate Exit Criteria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2"/>
              <w:left w:val="single" w:color="2E75B6" w:sz="4"/>
              <w:bottom w:val="single" w:color="2E75B6" w:sz="4"/>
              <w:right w:val="single" w:color="2E75B6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</w:rPr>
              <w:t xml:space="preserve">Do not advance to the next phase until ALL of the following are met:</w:t>
            </w:r>
          </w:p>
          <w:p>
            <w:pPr>
              <w:spacing w:after="60"/>
            </w:pPr>
            <w:r>
              <w:t xml:space="preserve">Four consecutive weeks with zero signal errors, zero missed actions, zero uncaught data faults.</w:t>
            </w:r>
          </w:p>
          <w:p>
            <w:pPr>
              <w:spacing w:after="60"/>
            </w:pPr>
            <w:r>
              <w:t xml:space="preserve">At least one roll per instrument executed cleanly in simulation.</w:t>
            </w:r>
          </w:p>
          <w:p>
            <w:pPr>
              <w:spacing w:after="60"/>
            </w:pPr>
            <w:r>
              <w:t xml:space="preserve">Observed slippage consistent with the Phase 2 cost model (within 1.5 ticks).</w:t>
            </w:r>
          </w:p>
          <w:p>
            <w:pPr>
              <w:spacing w:after="60"/>
            </w:pPr>
            <w:r>
              <w:t xml:space="preserve">Daily Sheet and monthly pack generation fully automated from the existing Python stack.</w:t>
            </w:r>
          </w:p>
        </w:tc>
      </w:tr>
    </w:tbl>
    <w:p>
      <w:pPr>
        <w:pStyle w:val="Heading1"/>
        <w:pageBreakBefore/>
      </w:pPr>
      <w:r>
        <w:t xml:space="preserve">9. Phase 5 — Go-Live at Half Size (Weeks 9–16)</w:t>
      </w:r>
    </w:p>
    <w:p>
      <w:pPr>
        <w:pStyle w:val="Heading2"/>
      </w:pPr>
      <w:r>
        <w:t xml:space="preserve">9.1 Funding Sequence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Fund Sleeves C and D in full (no operational risk; they are the safety apparatus and must exist before the first TFEX position).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Fund Sleeve A in full: tax-wrapper contributions to plan, DR core positions built with limit orders over 2–4 sessions during underlying-market hours.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Fund Sleeve B at 50% of target risk: run the full system but with the sleeve vol target halved (position counts roughly halve).</w:t>
      </w:r>
    </w:p>
    <w:p>
      <w:pPr>
        <w:pStyle w:val="Heading2"/>
      </w:pPr>
      <w:r>
        <w:t xml:space="preserve">9.2 Quarter-Long Validation Metrics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900"/>
        <w:gridCol w:w="3826"/>
      </w:tblGrid>
      <w:tr>
        <w:trPr>
          <w:tblHeader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Target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Measurement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Realised cost drag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Within 25% of model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Actual commissions + measured slippage vs Phase 2 assumptions, per instrument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Tracking vs paper twin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Trend sleeve daily P&amp;L correlation &gt; 0.95 vs shadow system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Run the paper system in parallel for the whole quarter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Operational breaks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Zero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Same taxonomy as Phase 4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Margin utilisation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Never &gt; 60% of cash buffer in normal conditions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Daily Sheet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DR execution quality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Fills within the iNAV band assumed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Per-trade log</w:t>
            </w:r>
          </w:p>
        </w:tc>
      </w:tr>
    </w:tbl>
    <w:p>
      <w:pPr>
        <w:pStyle w:val="Heading2"/>
      </w:pPr>
      <w:r>
        <w:t xml:space="preserve">9.3 Scale-Up Decision</w:t>
      </w:r>
    </w:p>
    <w:p>
      <w:pPr>
        <w:spacing w:after="120"/>
      </w:pPr>
      <w:r>
        <w:t xml:space="preserve">After one full quarter meeting all targets, scale Sleeve B to full target vol over two weekly steps. If any target is missed, remain at half size for another quarter and remediate; two consecutive missed quarters send the trend sleeve back to Phase 4.</w:t>
      </w:r>
    </w:p>
    <w:p>
      <w:pPr>
        <w:pStyle w:val="Heading3"/>
      </w:pPr>
      <w:r>
        <w:t xml:space="preserve">Stage-Gate Exit Criteria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2"/>
              <w:left w:val="single" w:color="2E75B6" w:sz="4"/>
              <w:bottom w:val="single" w:color="2E75B6" w:sz="4"/>
              <w:right w:val="single" w:color="2E75B6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</w:rPr>
              <w:t xml:space="preserve">Do not advance to the next phase until ALL of the following are met:</w:t>
            </w:r>
          </w:p>
          <w:p>
            <w:pPr>
              <w:spacing w:after="60"/>
            </w:pPr>
            <w:r>
              <w:t xml:space="preserve">One full calendar quarter at half size with all five validation metrics on target.</w:t>
            </w:r>
          </w:p>
          <w:p>
            <w:pPr>
              <w:spacing w:after="60"/>
            </w:pPr>
            <w:r>
              <w:t xml:space="preserve">Realised costs reconciled into the cost register; Phase 2 assumptions updated if materially different.</w:t>
            </w:r>
          </w:p>
          <w:p>
            <w:pPr>
              <w:spacing w:after="60"/>
            </w:pPr>
            <w:r>
              <w:t xml:space="preserve">Scale-up executed in two steps with no operational breaks.</w:t>
            </w:r>
          </w:p>
        </w:tc>
      </w:tr>
    </w:tbl>
    <w:p>
      <w:pPr>
        <w:pStyle w:val="Heading1"/>
        <w:pageBreakBefore/>
      </w:pPr>
      <w:r>
        <w:t xml:space="preserve">10. Phase 6 — Standing Governance (Ongoing)</w:t>
      </w:r>
    </w:p>
    <w:p>
      <w:pPr>
        <w:spacing w:after="120"/>
      </w:pPr>
      <w:r>
        <w:t xml:space="preserve">Run the programme as a one-person ALCO: automated reporting, fixed calendar, pre-committed change policy.</w:t>
      </w:r>
    </w:p>
    <w:p>
      <w:pPr>
        <w:pStyle w:val="Heading2"/>
      </w:pPr>
      <w:r>
        <w:t xml:space="preserve">10.1 Monthly Pack (Auto-Generated, ~30 Minutes Review)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P&amp;L attribution by sleeve, month and YTD, vs the simulated distribution from Phase 3.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Realised portfolio vol vs the 10% target; current overlay multiplier m and its history.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Current drawdown vs high-water mark and distance to the −15% circuit breaker.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Trend signal state and position per instrument; upcoming rolls.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Margin utilisation history; cash buffer status; MMF balance.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Cost drag YTD vs the ≤ 2% budget; slippage statistics vs model.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Exceptions log: every manual intervention, with reason.</w:t>
      </w:r>
    </w:p>
    <w:p>
      <w:pPr>
        <w:pStyle w:val="Heading2"/>
      </w:pPr>
      <w:r>
        <w:t xml:space="preserve">10.2 Calendar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Frequency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Actions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Daily (automated)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Data ingest, validation, signals, Daily Sheet; human review only when an action item exists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Monthly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Rebalance per rules; review monthly pack; file statements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Quarterly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Rebalance Sleeve A to strategic weights (band: act only if a sleeve drifts &gt; 5pp); top up RMF/SSF/ThaiESG toward annual caps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Annually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Re-run the Phase 2 sensitivity grid with the new year of data (plateau check, NOT re-optimisation); re-verify broker fees, fund TERs, TFEX specs, DR shortlist liquidity; refresh Appendix A</w:t>
            </w:r>
          </w:p>
        </w:tc>
      </w:tr>
    </w:tbl>
    <w:p>
      <w:pPr>
        <w:pStyle w:val="Heading2"/>
      </w:pPr>
      <w:r>
        <w:t xml:space="preserve">10.3 Pre-Committed Change Policy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2"/>
              <w:left w:val="single" w:color="2E75B6" w:sz="4"/>
              <w:bottom w:val="single" w:color="2E75B6" w:sz="4"/>
              <w:right w:val="single" w:color="2E75B6" w:sz="4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</w:rPr>
              <w:t xml:space="preserve">The system may be changed ONLY under these conditions:</w:t>
            </w:r>
          </w:p>
          <w:p>
            <w:pPr>
              <w:spacing w:after="60"/>
            </w:pPr>
            <w:r>
              <w:t xml:space="preserve">1. Structural market change — a TFEX contract specification change, delisting of a shortlist DR with no substitute, a fund closure, or a regulatory change altering tax treatment.</w:t>
            </w:r>
          </w:p>
          <w:p>
            <w:pPr>
              <w:spacing w:after="60"/>
            </w:pPr>
            <w:r>
              <w:t xml:space="preserve">2. Statistical failure — rolling 3-year live performance below the 5th percentile of the Phase 3 simulated distribution.</w:t>
            </w:r>
          </w:p>
          <w:p>
            <w:pPr>
              <w:spacing w:after="60"/>
            </w:pPr>
            <w:r>
              <w:t xml:space="preserve">3. Annual plateau check failure — the parameter region used is no longer on a plateau in the updated grid.</w:t>
            </w:r>
          </w:p>
          <w:p>
            <w:pPr>
              <w:spacing w:after="60"/>
            </w:pPr>
            <w:r>
              <w:t xml:space="preserve">A losing month, quarter, or year within the simulated distribution is explicitly NOT a reason to change anything. Document every proposed change, sleep on it for two weeks, and re-test through Phases 2–3 before deployment.</w:t>
            </w:r>
          </w:p>
        </w:tc>
      </w:tr>
    </w:tbl>
    <w:p>
      <w:pPr>
        <w:pStyle w:val="Heading2"/>
      </w:pPr>
      <w:r>
        <w:t xml:space="preserve">10.4 Key-Person and Continuity Note</w:t>
      </w:r>
    </w:p>
    <w:p>
      <w:pPr>
        <w:spacing w:after="120"/>
      </w:pPr>
      <w:r>
        <w:t xml:space="preserve">Maintain a one-page 'continuity sheet' stored with personal documents: account list, the instruction that all derivatives positions may simply be closed, and the location of fund holdings. The wrapped funds and DRs are self-sustaining; only Sleeve B requires active management.</w:t>
      </w:r>
    </w:p>
    <w:p>
      <w:pPr>
        <w:pStyle w:val="Heading1"/>
        <w:pageBreakBefore/>
      </w:pPr>
      <w:r>
        <w:t xml:space="preserve">11. Programme Risk Register</w:t>
      </w:r>
    </w:p>
    <w:p>
      <w:pPr>
        <w:spacing w:after="120"/>
      </w:pPr>
      <w:r>
        <w:t xml:space="preserve">RCSA-style register. Review at the annual cycle and after any exception.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700"/>
        <w:gridCol w:w="1100"/>
        <w:gridCol w:w="1000"/>
        <w:gridCol w:w="3726"/>
      </w:tblGrid>
      <w:tr>
        <w:trPr>
          <w:tblHeader/>
        </w:trP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Risk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Likelihood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Impact</w:t>
            </w:r>
          </w:p>
        </w:tc>
        <w:tc>
          <w:tcPr>
            <w:tcW w:type="dxa" w:w="3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Controls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Roll-methodology error fabricates backtest P&amp;L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3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Roll log audit; roll-jump validation check; execution-timing robustness test (6.3)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Cost drag exceeds model in live trading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3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Half-size quarter with 25% tolerance gate; per-trade slippage log; instrument drop rule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Margin call in stress forces liquidation of beta sleeve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3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Peak-stress margin model (7.4); cash + T+1 MMF two-line defence; 15/10 split fallback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USD/THB futures liquidity deteriorates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dxa" w:w="3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Watch-list status; morning-session limit orders; pre-approved 2-market fallback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DR iNAV deviation / issuer fee erosion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dxa" w:w="3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Night-session execution rule; ADV screen; annual shortlist refresh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Behavioural override after drawdown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3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Pre-committed change policy (10.3); mechanical circuit breaker; written exit criteria culture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Whipsaw regime persists multi-year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3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Sleeve sized to 25%; vol targeting caps damage; statistical-failure clause defines the exit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Single-broker operational failure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3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Exportable statements; continuity sheet; positions closable by phone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Tax rule changes (wrappers, SET exemption, remittance regime)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3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Annual review item; domestic-stack design minimises exposure; monitor enacted (not proposed) changes only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Data pipeline silent failure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3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Validation suite gating signal runs; zero-tolerance Phase 4 error class; rebuild-from-raw policy</w:t>
            </w:r>
          </w:p>
        </w:tc>
      </w:tr>
    </w:tbl>
    <w:p>
      <w:pPr>
        <w:pStyle w:val="Heading1"/>
        <w:pageBreakBefore/>
      </w:pPr>
      <w:r>
        <w:t xml:space="preserve">Appendix A — Master Parameter Sheet</w:t>
      </w:r>
    </w:p>
    <w:p>
      <w:pPr>
        <w:spacing w:after="120"/>
      </w:pPr>
      <w:r>
        <w:t xml:space="preserve">Single source of truth. Populate during Phases 0–3; refresh annually. Values marked [P0]/[P2]/[P3] are filled at that phase.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3100"/>
        <w:gridCol w:w="2226"/>
      </w:tblGrid>
      <w:tr>
        <w:trPr>
          <w:tblHeader/>
        </w:trP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Parameter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Value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Source/Phase</w:t>
            </w:r>
          </w:p>
        </w:tc>
      </w:tr>
      <w:t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Total programme capital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THB ____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Decision</w:t>
            </w:r>
          </w:p>
        </w:tc>
      </w:tr>
      <w:t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Strategic weights A/B/C/D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50 / 25 / 20 / 5 (or 15/10 ballast split)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Ch.2 / [P3]</w:t>
            </w:r>
          </w:p>
        </w:tc>
      </w:tr>
      <w:t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Portfolio vol target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10% annualised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Ch.2.2</w:t>
            </w:r>
          </w:p>
        </w:tc>
      </w:tr>
      <w:t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Circuit breaker / restore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−15% / −7.5%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Ch.2.2</w:t>
            </w:r>
          </w:p>
        </w:tc>
      </w:tr>
      <w:t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Sleeve B vol target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12% on sleeve capital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Ch.6.1</w:t>
            </w:r>
          </w:p>
        </w:tc>
      </w:tr>
      <w:t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Signal lookback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12m (confirm plateau) 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[P2]</w:t>
            </w:r>
          </w:p>
        </w:tc>
      </w:tr>
      <w:t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Vol estimator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EWMA λ=0.94, 60d window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Ch.6.1</w:t>
            </w:r>
          </w:p>
        </w:tc>
      </w:tr>
      <w:t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Rebalance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Monthly + 25% vol band + signal flips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Ch.6.1</w:t>
            </w:r>
          </w:p>
        </w:tc>
      </w:tr>
      <w:t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Instrument set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S50 + GO (+ USD/THB if Phase 2 leg passes)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[P2]</w:t>
            </w:r>
          </w:p>
        </w:tc>
      </w:tr>
      <w:t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S50 fees per side / slippage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THB ____ / 1 tick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[P0]</w:t>
            </w:r>
          </w:p>
        </w:tc>
      </w:tr>
      <w:t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GO fees per side / slippage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THB ____ / 1–2 ticks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[P0]</w:t>
            </w:r>
          </w:p>
        </w:tc>
      </w:tr>
      <w:t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USD/THB fees per side / slippage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THB ____ / 2–3 ticks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[P0]</w:t>
            </w:r>
          </w:p>
        </w:tc>
      </w:tr>
      <w:t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TFEX IM/MM per contract (current)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____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[P0], refresh</w:t>
            </w:r>
          </w:p>
        </w:tc>
      </w:tr>
      <w:t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Broker margin collateral policy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Cash-only / funds eligible: ____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[P0]</w:t>
            </w:r>
          </w:p>
        </w:tc>
      </w:tr>
      <w:t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DR shortlist + designated primaries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____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[P0], annual refresh</w:t>
            </w:r>
          </w:p>
        </w:tc>
      </w:tr>
      <w:t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RMF/SSF/ThaiESG providers + TERs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____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[P0]</w:t>
            </w:r>
          </w:p>
        </w:tc>
      </w:tr>
      <w:t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MMF / bond fund + cut-off times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____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[P0]</w:t>
            </w:r>
          </w:p>
        </w:tc>
      </w:tr>
      <w:t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Cost drag budget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≤ 2% p.a. of sleeve B capital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Ch.6.2</w:t>
            </w:r>
          </w:p>
        </w:tc>
      </w:tr>
      <w:tr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Stage-gate Sharpe thresholds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Sleeve ≥ 0.4 [P2]; portfolio ≥ 0.6 [P3]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Ch.6/7</w:t>
            </w:r>
          </w:p>
        </w:tc>
      </w:tr>
    </w:tbl>
    <w:p>
      <w:pPr>
        <w:pStyle w:val="Heading1"/>
        <w:pageBreakBefore/>
      </w:pPr>
      <w:r>
        <w:t xml:space="preserve">Appendix B — Formulas and Worked Examples</w:t>
      </w:r>
    </w:p>
    <w:p>
      <w:pPr>
        <w:pStyle w:val="Heading2"/>
      </w:pPr>
      <w:r>
        <w:t xml:space="preserve">B.1 Volatility Estimate</w:t>
      </w:r>
    </w:p>
    <w:p>
      <w:pPr>
        <w:spacing w:after="120"/>
      </w:pPr>
      <w:r>
        <w:t xml:space="preserve">EWMA variance: σ²_t = λ σ²_{t−1} + (1−λ) r²_t with λ = 0.94, daily returns r of the back-adjusted series; annualised vol = σ_t × √252.</w:t>
      </w:r>
    </w:p>
    <w:p>
      <w:pPr>
        <w:pStyle w:val="Heading2"/>
      </w:pPr>
      <w:r>
        <w:t xml:space="preserve">B.2 Contract Sizing</w:t>
      </w:r>
    </w:p>
    <w:p>
      <w:pPr>
        <w:spacing w:after="120"/>
      </w:pPr>
      <w:r>
        <w:t xml:space="preserve">Contracts for instrument i:  N_i = round( (w_i × σ_target × C_B) / (σ_i × PV_i × P_i) )  where w_i is the instrument's risk-budget share, σ_target the sleeve vol target (12%), C_B sleeve capital, σ_i instrument annualised vol, PV_i point value (THB per index/price point), P_i current price in points.</w:t>
      </w:r>
    </w:p>
    <w:p>
      <w:pPr>
        <w:spacing w:after="120"/>
      </w:pPr>
      <w:r>
        <w:t xml:space="preserve">Worked example (illustrative numbers — replace with live values): sleeve capital THB 250,000, three instruments at equal risk share w = 1/3, S50 at price 1,000 points, point value THB 200, instrument vol 15%. Risk budget for S50 = (1/3 × 12% × 250,000) = THB 10,000 of annualised vol. Denominator = 0.15 × 200 × 1,000 = THB 30,000 vol per contract. N = round(10,000 / 30,000) = 0 → with a 25% sleeve at THB 1m total this becomes round(40,000/30,000) = 1 contract. This is exactly the granularity constraint of Chapter 2.4: at small capital, one S50 contract can exceed the per-instrument budget, motivating the 2-market variant or accepting 1-contract lumpiness within the 1.5× rule.</w:t>
      </w:r>
    </w:p>
    <w:p>
      <w:pPr>
        <w:pStyle w:val="Heading2"/>
      </w:pPr>
      <w:r>
        <w:t xml:space="preserve">B.3 Overlay Multiplier</w:t>
      </w:r>
    </w:p>
    <w:p>
      <w:pPr>
        <w:spacing w:after="120"/>
      </w:pPr>
      <w:r>
        <w:t xml:space="preserve">m = min(1.0, σ_target,portfolio / σ_60d,portfolio). Applied exposure = m × strategic exposure, trend sleeve scaled first, beta sleeve scaled when m &lt; 0.7.</w:t>
      </w:r>
    </w:p>
    <w:p>
      <w:pPr>
        <w:pStyle w:val="Heading2"/>
      </w:pPr>
      <w:r>
        <w:t xml:space="preserve">B.4 Margin Adequacy</w:t>
      </w:r>
    </w:p>
    <w:p>
      <w:pPr>
        <w:spacing w:after="120"/>
      </w:pPr>
      <w:r>
        <w:t xml:space="preserve">Required liquidity_t = Σ_i N_i × IM_stressed,i + 2 × 3σ_daily,portfolio,THB. Pass condition: Required liquidity ≤ Cash buffer + MMF balance (T+1) on every simulated stress day.</w:t>
      </w:r>
    </w:p>
    <w:p>
      <w:pPr>
        <w:pStyle w:val="Heading2"/>
      </w:pPr>
      <w:r>
        <w:t xml:space="preserve">B.5 Performance Metrics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Excess return: portfolio return − THOR. Sharpe = annualised excess / annualised vol.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Max drawdown on daily NAV; hit rate = % profitable months; cost drag = total transaction costs / average capital, annualised.</w:t>
      </w:r>
    </w:p>
    <w:p>
      <w:pPr>
        <w:pStyle w:val="Heading1"/>
        <w:pageBreakBefore/>
      </w:pPr>
      <w:r>
        <w:t xml:space="preserve">Appendix C — Operating Checklists</w:t>
      </w:r>
    </w:p>
    <w:p>
      <w:pPr>
        <w:pStyle w:val="Heading2"/>
      </w:pPr>
      <w:r>
        <w:t xml:space="preserve">C.1 Pre-Trade (Every Sleeve B Order)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Daily Sheet action item exists and is signed off.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Order matches the sizing formula output exactly (no discretionary adjustment).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Limit price set per instrument rule (anchored to current book; iNAV for DRs).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Margin utilisation after fill projected &lt; 60% of buffer.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Correct series (front month / roll pair) confirmed against roll calendar.</w:t>
      </w:r>
    </w:p>
    <w:p>
      <w:pPr>
        <w:pStyle w:val="Heading2"/>
      </w:pPr>
      <w:r>
        <w:t xml:space="preserve">C.2 Monthly Rebalance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Validation suite green for all series.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Signals recomputed and cross-checked by the independent recheck script.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Vol estimates and overlay multiplier updated; m applied.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Orders ticketed, executed in liquid hours, fills logged with slippage vs model.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Monthly pack generated, reviewed, filed; exceptions logged.</w:t>
      </w:r>
    </w:p>
    <w:p>
      <w:pPr>
        <w:pStyle w:val="Heading2"/>
      </w:pPr>
      <w:r>
        <w:t xml:space="preserve">C.3 Roll Procedure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Roll trigger confirmed (volume crossover or T−5).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Execute as calendar spread where supported; otherwise leg out/in within one session, old leg first.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Record both fills in the roll log; verify continuous series adjustment next day.</w:t>
      </w:r>
    </w:p>
    <w:p>
      <w:pPr>
        <w:pStyle w:val="Heading2"/>
      </w:pPr>
      <w:r>
        <w:t xml:space="preserve">C.4 Quarterly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Sleeve A drift check (&gt; 5pp band) and rebalance trades if triggered.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Tax-wrapper contributions vs annual caps and personal cash-flow plan.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Review DR fills quality and iNAV deviation statistics.</w:t>
      </w:r>
    </w:p>
    <w:p>
      <w:pPr>
        <w:pStyle w:val="Heading2"/>
      </w:pPr>
      <w:r>
        <w:t xml:space="preserve">C.5 Annual</w:t>
      </w:r>
    </w:p>
    <w:p>
      <w:pPr>
        <w:pStyle w:val="ListParagraph"/>
        <w:numPr>
          <w:ilvl w:val="0"/>
          <w:numId w:val="15"/>
        </w:numPr>
        <w:spacing w:after="60"/>
      </w:pPr>
      <w:r>
        <w:t xml:space="preserve">Re-run sensitivity grid with extended data; confirm plateau (Section 10.3 clause 3).</w:t>
      </w:r>
    </w:p>
    <w:p>
      <w:pPr>
        <w:pStyle w:val="ListParagraph"/>
        <w:numPr>
          <w:ilvl w:val="0"/>
          <w:numId w:val="15"/>
        </w:numPr>
        <w:spacing w:after="60"/>
      </w:pPr>
      <w:r>
        <w:t xml:space="preserve">Re-verify all Appendix A parameters: fees, TERs, IM/MM, DR shortlist, fund cut-offs, contract specs.</w:t>
      </w:r>
    </w:p>
    <w:p>
      <w:pPr>
        <w:pStyle w:val="ListParagraph"/>
        <w:numPr>
          <w:ilvl w:val="0"/>
          <w:numId w:val="15"/>
        </w:numPr>
        <w:spacing w:after="60"/>
      </w:pPr>
      <w:r>
        <w:t xml:space="preserve">Review risk register; update likelihoods after the year's exceptions.</w:t>
      </w:r>
    </w:p>
    <w:p>
      <w:pPr>
        <w:pStyle w:val="ListParagraph"/>
        <w:numPr>
          <w:ilvl w:val="0"/>
          <w:numId w:val="15"/>
        </w:numPr>
        <w:spacing w:after="60"/>
      </w:pPr>
      <w:r>
        <w:t xml:space="preserve">Confirm continuity sheet current.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1"/>
      </w:pBdr>
      <w:tabs>
        <w:tab w:val="right" w:pos="9026"/>
      </w:tabs>
    </w:pPr>
    <w:r>
      <w:rPr>
        <w:color w:val="808080"/>
        <w:sz w:val="16"/>
        <w:szCs w:val="16"/>
      </w:rPr>
      <w:t xml:space="preserve">Quantitative Multi-Sleeve Investment Programme</w:t>
    </w:r>
    <w:r>
      <w:rPr>
        <w:color w:val="808080"/>
        <w:sz w:val="16"/>
        <w:szCs w:val="16"/>
      </w:rPr>
      <w:t xml:space="preserve">	Implementation &amp; Testing Handbook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2026-06-12T02:30:18.858Z</dcterms:created>
  <dcterms:modified xsi:type="dcterms:W3CDTF">2026-06-12T02:30:18.858Z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