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C1" w:rsidRDefault="008C6AC1" w:rsidP="008C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8C6AC1">
        <w:rPr>
          <w:rFonts w:ascii="Courier" w:hAnsi="Courier" w:cs="Courier"/>
          <w:color w:val="000000"/>
          <w:sz w:val="20"/>
          <w:szCs w:val="20"/>
        </w:rPr>
        <w:t>To what extend does a</w:t>
      </w:r>
      <w:r w:rsidR="00546AC0"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546AC0">
        <w:rPr>
          <w:rFonts w:ascii="Courier" w:hAnsi="Courier" w:cs="Courier"/>
          <w:color w:val="000000"/>
          <w:sz w:val="20"/>
          <w:szCs w:val="20"/>
        </w:rPr>
        <w:t>eC</w:t>
      </w:r>
      <w:r>
        <w:rPr>
          <w:rFonts w:ascii="Courier" w:hAnsi="Courier" w:cs="Courier"/>
          <w:color w:val="000000"/>
          <w:sz w:val="20"/>
          <w:szCs w:val="20"/>
        </w:rPr>
        <w:t>oach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help motivate a patient to continue treatment?</w:t>
      </w:r>
    </w:p>
    <w:p w:rsidR="008C6AC1" w:rsidRPr="008C6AC1" w:rsidRDefault="008C6AC1" w:rsidP="008C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02701B" w:rsidRDefault="008C6AC1">
      <w:r>
        <w:t xml:space="preserve">The obvious benefit of home coaching is of </w:t>
      </w:r>
      <w:r w:rsidR="000D0104">
        <w:t xml:space="preserve">course that the patient does not </w:t>
      </w:r>
      <w:r>
        <w:t xml:space="preserve">have to leave his home. Virtual coaches exist in many different forms: as a mobile </w:t>
      </w:r>
      <w:r w:rsidR="00546AC0">
        <w:t xml:space="preserve">running </w:t>
      </w:r>
      <w:r>
        <w:t xml:space="preserve">application </w:t>
      </w:r>
      <w:r w:rsidR="000D0104">
        <w:t>that tells you when it i</w:t>
      </w:r>
      <w:bookmarkStart w:id="0" w:name="_GoBack"/>
      <w:bookmarkEnd w:id="0"/>
      <w:r w:rsidR="00546AC0">
        <w:t xml:space="preserve">s time to go for another run, or as an annoying paperclip that asks you what you want to do in a text editor. </w:t>
      </w:r>
      <w:r w:rsidR="00B25FF1">
        <w:t xml:space="preserve"> The effectiveness of a virtual coach has been proven in different fields. One study found that beginning</w:t>
      </w:r>
      <w:r w:rsidR="00ED33E5">
        <w:t xml:space="preserve"> athletes did more exercising with a virtual coach than without [1]. </w:t>
      </w:r>
    </w:p>
    <w:p w:rsidR="00ED33E5" w:rsidRDefault="00ED33E5"/>
    <w:p w:rsidR="00ED33E5" w:rsidRDefault="00ED33E5">
      <w:r>
        <w:t xml:space="preserve">But how much influence has a visual representation of an </w:t>
      </w:r>
      <w:proofErr w:type="spellStart"/>
      <w:r>
        <w:t>eCoach</w:t>
      </w:r>
      <w:proofErr w:type="spellEnd"/>
      <w:r>
        <w:t xml:space="preserve"> on the behavior of people (patients)? In a study</w:t>
      </w:r>
      <w:r w:rsidR="00AB35A9">
        <w:t xml:space="preserve"> [2]</w:t>
      </w:r>
      <w:r>
        <w:t xml:space="preserve"> where young women are motivated towards engineering, the study group found that a visual presence of an </w:t>
      </w:r>
      <w:proofErr w:type="spellStart"/>
      <w:r>
        <w:t>eCoach</w:t>
      </w:r>
      <w:proofErr w:type="spellEnd"/>
      <w:r>
        <w:t xml:space="preserve"> had significantly more influence on the women than with a voice-only coach.</w:t>
      </w:r>
      <w:r w:rsidR="00AB35A9">
        <w:t xml:space="preserve"> This is very interesting, because it not only proves that a visual coach helps, but is even b</w:t>
      </w:r>
      <w:r w:rsidR="00F64A10">
        <w:t>ette</w:t>
      </w:r>
      <w:r w:rsidR="00F34A1B">
        <w:t xml:space="preserve">r than a non-visual </w:t>
      </w:r>
      <w:proofErr w:type="spellStart"/>
      <w:r w:rsidR="00F34A1B">
        <w:t>eCoach</w:t>
      </w:r>
      <w:proofErr w:type="spellEnd"/>
      <w:r w:rsidR="00F34A1B">
        <w:t xml:space="preserve">. </w:t>
      </w:r>
      <w:r w:rsidR="00CB203C">
        <w:t>When</w:t>
      </w:r>
      <w:r w:rsidR="00F64A10">
        <w:t xml:space="preserve"> the coach can be seen and not only heard, people have more the perception they are rea</w:t>
      </w:r>
      <w:r w:rsidR="00F34A1B">
        <w:t>ll</w:t>
      </w:r>
      <w:r w:rsidR="00CB203C">
        <w:t xml:space="preserve">y interacting with someone [3]. </w:t>
      </w:r>
    </w:p>
    <w:p w:rsidR="00CB203C" w:rsidRDefault="00CB203C"/>
    <w:p w:rsidR="00CB203C" w:rsidRDefault="00CB203C">
      <w:r>
        <w:t xml:space="preserve">It seems that an </w:t>
      </w:r>
      <w:proofErr w:type="spellStart"/>
      <w:r>
        <w:t>eCoach</w:t>
      </w:r>
      <w:proofErr w:type="spellEnd"/>
      <w:r>
        <w:t xml:space="preserve"> can have a significant effect on a person that interacts with it, so if the effect is as strong with social phobic persons, an </w:t>
      </w:r>
      <w:proofErr w:type="spellStart"/>
      <w:r>
        <w:t>eCoach</w:t>
      </w:r>
      <w:proofErr w:type="spellEnd"/>
      <w:r>
        <w:t xml:space="preserve"> would be a promising tool to motivate them in continuing their treatment.</w:t>
      </w:r>
    </w:p>
    <w:p w:rsidR="00ED33E5" w:rsidRDefault="00ED33E5"/>
    <w:p w:rsidR="00ED33E5" w:rsidRDefault="00ED33E5"/>
    <w:p w:rsidR="00ED33E5" w:rsidRPr="000D0104" w:rsidRDefault="00ED33E5" w:rsidP="00ED33E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nl-NL"/>
        </w:rPr>
      </w:pPr>
      <w:r w:rsidRPr="000D0104">
        <w:rPr>
          <w:lang w:val="nl-NL"/>
        </w:rPr>
        <w:t>[1]</w:t>
      </w:r>
      <w:r w:rsidRPr="000D0104">
        <w:rPr>
          <w:rFonts w:ascii="Times" w:hAnsi="Times" w:cs="Times"/>
          <w:sz w:val="22"/>
          <w:szCs w:val="22"/>
          <w:lang w:val="nl-NL"/>
        </w:rPr>
        <w:t xml:space="preserve"> W. </w:t>
      </w:r>
      <w:proofErr w:type="spellStart"/>
      <w:r w:rsidRPr="000D0104">
        <w:rPr>
          <w:rFonts w:ascii="Times" w:hAnsi="Times" w:cs="Times"/>
          <w:sz w:val="22"/>
          <w:szCs w:val="22"/>
          <w:lang w:val="nl-NL"/>
        </w:rPr>
        <w:t>IJsselsteijn</w:t>
      </w:r>
      <w:proofErr w:type="spellEnd"/>
      <w:r w:rsidRPr="000D0104">
        <w:rPr>
          <w:rFonts w:ascii="Times" w:hAnsi="Times" w:cs="Times"/>
          <w:sz w:val="22"/>
          <w:szCs w:val="22"/>
          <w:lang w:val="nl-NL"/>
        </w:rPr>
        <w:t xml:space="preserve"> et al. (</w:t>
      </w:r>
      <w:proofErr w:type="spellStart"/>
      <w:r w:rsidRPr="000D0104">
        <w:rPr>
          <w:rFonts w:ascii="Times" w:hAnsi="Times" w:cs="Times"/>
          <w:sz w:val="22"/>
          <w:szCs w:val="22"/>
          <w:lang w:val="nl-NL"/>
        </w:rPr>
        <w:t>Eds</w:t>
      </w:r>
      <w:proofErr w:type="spellEnd"/>
      <w:r w:rsidRPr="000D0104">
        <w:rPr>
          <w:rFonts w:ascii="Times" w:hAnsi="Times" w:cs="Times"/>
          <w:sz w:val="22"/>
          <w:szCs w:val="22"/>
          <w:lang w:val="nl-NL"/>
        </w:rPr>
        <w:t>.): PERSUASIVE 2006, LNCS 3962, pp. 158 – 161, 2006.</w:t>
      </w:r>
    </w:p>
    <w:p w:rsidR="00F34A1B" w:rsidRPr="00F34A1B" w:rsidRDefault="00ED33E5" w:rsidP="00F34A1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t>[2]</w:t>
      </w:r>
      <w:r w:rsidR="00AB35A9" w:rsidRPr="00AB35A9">
        <w:rPr>
          <w:rFonts w:ascii="Times" w:hAnsi="Times" w:cs="Times"/>
          <w:sz w:val="22"/>
          <w:szCs w:val="22"/>
        </w:rPr>
        <w:t xml:space="preserve"> </w:t>
      </w:r>
      <w:r w:rsidR="00F34A1B" w:rsidRPr="00F34A1B">
        <w:rPr>
          <w:rFonts w:ascii="Times" w:hAnsi="Times" w:cs="Times"/>
          <w:sz w:val="22"/>
          <w:szCs w:val="22"/>
        </w:rPr>
        <w:t>Rosenberg-</w:t>
      </w:r>
      <w:proofErr w:type="spellStart"/>
      <w:r w:rsidR="00F34A1B" w:rsidRPr="00F34A1B">
        <w:rPr>
          <w:rFonts w:ascii="Times" w:hAnsi="Times" w:cs="Times"/>
          <w:sz w:val="22"/>
          <w:szCs w:val="22"/>
        </w:rPr>
        <w:t>Kima</w:t>
      </w:r>
      <w:proofErr w:type="spellEnd"/>
      <w:r w:rsidR="00F34A1B" w:rsidRPr="00F34A1B">
        <w:rPr>
          <w:rFonts w:ascii="Times" w:hAnsi="Times" w:cs="Times"/>
          <w:sz w:val="22"/>
          <w:szCs w:val="22"/>
        </w:rPr>
        <w:t xml:space="preserve">, R., Baylor, A. L., Plant, E. A. &amp; </w:t>
      </w:r>
      <w:proofErr w:type="spellStart"/>
      <w:r w:rsidR="00F34A1B" w:rsidRPr="00F34A1B">
        <w:rPr>
          <w:rFonts w:ascii="Times" w:hAnsi="Times" w:cs="Times"/>
          <w:sz w:val="22"/>
          <w:szCs w:val="22"/>
        </w:rPr>
        <w:t>Doerr</w:t>
      </w:r>
      <w:proofErr w:type="spellEnd"/>
      <w:r w:rsidR="00F34A1B" w:rsidRPr="00F34A1B">
        <w:rPr>
          <w:rFonts w:ascii="Times" w:hAnsi="Times" w:cs="Times"/>
          <w:sz w:val="22"/>
          <w:szCs w:val="22"/>
        </w:rPr>
        <w:t>, C.</w:t>
      </w:r>
    </w:p>
    <w:p w:rsidR="00AB35A9" w:rsidRDefault="00F34A1B" w:rsidP="00F34A1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 w:rsidRPr="00F34A1B">
        <w:rPr>
          <w:rFonts w:ascii="Times" w:hAnsi="Times" w:cs="Times"/>
          <w:sz w:val="22"/>
          <w:szCs w:val="22"/>
        </w:rPr>
        <w:t xml:space="preserve">2007 The importance of interface agent visual presence: voice alone is less effective in impacting young women’s attitudes toward engineering. Persuasive 2007, vol. 4744., </w:t>
      </w:r>
      <w:proofErr w:type="spellStart"/>
      <w:r w:rsidRPr="00F34A1B">
        <w:rPr>
          <w:rFonts w:ascii="Times" w:hAnsi="Times" w:cs="Times"/>
          <w:sz w:val="22"/>
          <w:szCs w:val="22"/>
        </w:rPr>
        <w:t>pp</w:t>
      </w:r>
      <w:proofErr w:type="spellEnd"/>
      <w:r w:rsidRPr="00F34A1B">
        <w:rPr>
          <w:rFonts w:ascii="Times" w:hAnsi="Times" w:cs="Times"/>
          <w:sz w:val="22"/>
          <w:szCs w:val="22"/>
        </w:rPr>
        <w:t xml:space="preserve"> 214–222. Stanford, CA: Springer.</w:t>
      </w:r>
    </w:p>
    <w:p w:rsidR="00F34A1B" w:rsidRDefault="00F34A1B" w:rsidP="00F34A1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t xml:space="preserve">[3]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180"/>
      </w:tblGrid>
      <w:tr w:rsidR="00F34A1B">
        <w:tc>
          <w:tcPr>
            <w:tcW w:w="960" w:type="dxa"/>
            <w:tcMar>
              <w:left w:w="160" w:type="nil"/>
              <w:bottom w:w="160" w:type="nil"/>
              <w:right w:w="260" w:type="nil"/>
            </w:tcMar>
          </w:tcPr>
          <w:p w:rsidR="00F34A1B" w:rsidRDefault="00F34A1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646464"/>
                <w:sz w:val="26"/>
                <w:szCs w:val="26"/>
              </w:rPr>
            </w:pPr>
          </w:p>
        </w:tc>
        <w:tc>
          <w:tcPr>
            <w:tcW w:w="9180" w:type="dxa"/>
            <w:tcMar>
              <w:left w:w="160" w:type="nil"/>
              <w:bottom w:w="160" w:type="nil"/>
            </w:tcMar>
          </w:tcPr>
          <w:p w:rsidR="00F34A1B" w:rsidRDefault="00F34A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Baylor, Amy L. "Promoting motivation with virtual agents and avatars: role of visual presence and appearance." </w:t>
            </w:r>
            <w:r>
              <w:rPr>
                <w:rFonts w:ascii="Arial" w:hAnsi="Arial" w:cs="Arial"/>
                <w:i/>
                <w:iCs/>
                <w:color w:val="1A1A1A"/>
                <w:sz w:val="26"/>
                <w:szCs w:val="26"/>
              </w:rPr>
              <w:t>Philosophical Transactions of the Royal Society B: Biological Sciences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364.1535 (2009): 3559-3565.</w:t>
            </w:r>
          </w:p>
        </w:tc>
      </w:tr>
    </w:tbl>
    <w:p w:rsidR="00F34A1B" w:rsidRDefault="00F34A1B" w:rsidP="00F34A1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</w:p>
    <w:p w:rsidR="00ED33E5" w:rsidRDefault="00ED33E5"/>
    <w:sectPr w:rsidR="00ED33E5" w:rsidSect="003C47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C1"/>
    <w:rsid w:val="0002701B"/>
    <w:rsid w:val="000D0104"/>
    <w:rsid w:val="003C475C"/>
    <w:rsid w:val="00546AC0"/>
    <w:rsid w:val="008C6AC1"/>
    <w:rsid w:val="00AB35A9"/>
    <w:rsid w:val="00B25FF1"/>
    <w:rsid w:val="00CB203C"/>
    <w:rsid w:val="00ED33E5"/>
    <w:rsid w:val="00F34A1B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C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C6AC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C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C6AC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297</Words>
  <Characters>1635</Characters>
  <Application>Microsoft Office Word</Application>
  <DocSecurity>0</DocSecurity>
  <Lines>13</Lines>
  <Paragraphs>3</Paragraphs>
  <ScaleCrop>false</ScaleCrop>
  <Company>Elgar Programming Company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Elgar de Groot</dc:creator>
  <cp:keywords/>
  <dc:description/>
  <cp:lastModifiedBy>Gebruiker</cp:lastModifiedBy>
  <cp:revision>2</cp:revision>
  <dcterms:created xsi:type="dcterms:W3CDTF">2013-03-21T19:01:00Z</dcterms:created>
  <dcterms:modified xsi:type="dcterms:W3CDTF">2013-03-22T13:41:00Z</dcterms:modified>
</cp:coreProperties>
</file>