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FAUSTO YUUKI T.A FREIRE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32"/>
        </w:rPr>
        <w:t>HARNESSES DE AGENTES DE CODIFICAÇÃO: O IMPACTO DO PROJETO DO HARNESS SOBRE O CUSTO E O DESEMPENHO DE UM MODELO DE LINGUAGEM MANTIDO FIXO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FAUSTO YUUKI T.A FREIRE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HARNESSES DE AGENTES DE CODIFICAÇÃO: O IMPACTO DO PROJETO DO HARNESS SOBRE O CUSTO E O DESEMPENHO DE UM MODELO DE LINGUAGEM MANTIDO FIXO</w:t>
      </w:r>
    </w:p>
    <w:p/>
    <w:p/>
    <w:p/>
    <w:p/>
    <w:p>
      <w:pPr>
        <w:spacing w:line="240" w:lineRule="auto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Conclusão de Curso apresentado ao Departamento de Área de Informática do Instituto Federal de Educação, Ciência e Tecnologia de Mato Grosso, Campus Octayde Jorge da Silva, como requisito parcial para a conclusão do curso de Sistemas para Internet.</w:t>
      </w:r>
    </w:p>
    <w:p>
      <w:pPr>
        <w:spacing w:line="240" w:lineRule="auto" w:before="240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Orientadora: Profa. Inara Silva</w:t>
      </w:r>
    </w:p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4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7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escolha do modelo domina a discussão sobre agentes de codificação, mas não é o único fator sob controle de quem os usa. Na Tabela 1 de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três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o mesmo modelo congelado obtêm 47,2%, 62,9% e 71,9% de pass@1, uma dispersão de 24,7 pontos percentuais atribuível só ao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. O estudo da Databricks relatado por Earendil (2026) registra variação superior a 2x no custo por tarefa,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Com a linhagem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fixa, a diferença aparece antes de o modelo gerar um token. Na primeira requisição da mesma tarefa, o oh-my-pi,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próprio ascendente, 64.945 contra 5.676. Falta medir quanto dessa diferença de carga chega ao resultado final, porque é isso que determina quanto do modelo pago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agentes de codificação: o impacto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 o desempenho de um modelo de linguagem mantido fixo.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Mantido fixo o modelo de linguagem, quanto do custo em tokens e da taxa de sucesso de um agente de codificação é determinado pelo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? E é possível atribuir essa variação a decisões específicas de projeto, em vez de ao conjunto indistinto de diferenças entre implementações independentes?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o efeito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em tokens e a taxa de sucesso de agentes de codificação, isolando decisões específicas de projeto por meio da comparação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7) publicar o </w:t>
      </w:r>
      <w:r>
        <w:rPr>
          <w:rFonts w:ascii="Times New Roman" w:hAnsi="Times New Roman" w:cs="Times New Roman"/>
          <w:b w:val="0"/>
          <w:i/>
          <w:sz w:val="24"/>
        </w:rPr>
        <w:t>runner</w:t>
      </w:r>
      <w:r>
        <w:rPr>
          <w:rFonts w:ascii="Times New Roman" w:hAnsi="Times New Roman" w:cs="Times New Roman"/>
          <w:b w:val="0"/>
          <w:i w:val="0"/>
          <w:sz w:val="24"/>
        </w:rPr>
        <w:t>, os dados brutos e os scripts de análise, de modo que o experimento possa ser reexecutado a custo monetário zero.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Metodologia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pesquisa é aplicada, quali-quantitativa, exploratória e experimental, e o método é dedutivo, porque parte de hipóteses declaradas e as submete a teste. Os dados são coletados por um instrumento próprio, um proxy reverso interposto entre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modelo, que conta requisições, tokens e latência da mesma forma para todos os braços. Cada par de braço e tarefa é executado ao menos três vezes sobre uma suíte fixa do DeepSWE, e a comparação é feita por teste pareado sobre o Succ/Mtok de cada tarefa. Espera-se obter a diferença de custo e de sucesso atribuível ao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com o modelo mantido fixo. A seção 3 detalha material, método e tratamento estatístico.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apenas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2025a, 2025b), e está organizado em seis seções. Esta introdução apresenta a justificativa, o tema, o problema, os objetivos, a metodologia e as hipóteses.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definem </w:t>
      </w:r>
      <w:r>
        <w:rPr>
          <w:rFonts w:ascii="Times New Roman" w:hAnsi="Times New Roman" w:cs="Times New Roman"/>
          <w:b w:val="0"/>
          <w:i/>
          <w:sz w:val="24"/>
        </w:rPr>
        <w:t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como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capaz de executar tarefas de longo horizonte. Os mesmos autores separam capacidades internas do modelo, infraestrutura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artefatos de código criados pelo agente; o recorte aqui é o do meio, com as capacidades internas constantes. Os braços vão de um laço ReAct mínimo (Yao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(2024), cuja interface agente-computador sob medida rendeu o estado da arte do SWE-bench à época.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já está estabelecido na literatura.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contra os 19,7 pontos entre as quatro bases alternativas do mesmo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semente (§ 4.3), dispersões da mesma ordem. Zhang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enunciam a </w:t>
      </w:r>
      <w:r>
        <w:rPr>
          <w:rFonts w:ascii="Times New Roman" w:hAnsi="Times New Roman" w:cs="Times New Roman"/>
          <w:b w:val="0"/>
          <w:i/>
          <w:sz w:val="24"/>
        </w:rPr>
        <w:t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em longo horizonte,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Somam-se duas fontes de prática: o HarnessRank (2026) e o estudo da Databricks relatado por Earendil (2026), com custo por tarefa variando mais de 2x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separá-los. Ning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nomeiam a lacuna em §5.2.1, onde as métricas de sucesso final confundem modelo 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pedem em §5.2.7 métricas que isolem componentes. O par pi / oh-my-pi responde a §5.2.7: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instrumentação. O que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do relatório um conjunto diferente de chamadas reais ao modelo. 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 mostram que a avaliação de agentes ignora o custo e por isso erra sobre a origem dos ganhos, e 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(6)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(2026). Sobre ela pesa uma ressalva permanente.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2025).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</w:t>
      </w:r>
      <w:r>
        <w:rPr>
          <w:rFonts w:ascii="Times New Roman" w:hAnsi="Times New Roman" w:cs="Times New Roman"/>
          <w:b/>
          <w:i w:val="0"/>
          <w:sz w:val="24"/>
        </w:rPr>
        <w:t>aplicada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seu produto é uma decisão de engenharia que um desenvolvedor pode tomar hoje. Quanto à abordagem, é </w:t>
      </w:r>
      <w:r>
        <w:rPr>
          <w:rFonts w:ascii="Times New Roman" w:hAnsi="Times New Roman" w:cs="Times New Roman"/>
          <w:b/>
          <w:i w:val="0"/>
          <w:sz w:val="24"/>
        </w:rPr>
        <w:t>quali-quantitativa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</w:t>
      </w:r>
      <w:r>
        <w:rPr>
          <w:rFonts w:ascii="Times New Roman" w:hAnsi="Times New Roman" w:cs="Times New Roman"/>
          <w:b/>
          <w:i w:val="0"/>
          <w:sz w:val="24"/>
        </w:rPr>
        <w:t>exploratória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</w:t>
      </w:r>
      <w:r>
        <w:rPr>
          <w:rFonts w:ascii="Times New Roman" w:hAnsi="Times New Roman" w:cs="Times New Roman"/>
          <w:b/>
          <w:i w:val="0"/>
          <w:sz w:val="24"/>
        </w:rPr>
        <w:t>experimental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variáveis controladas (modelo, tarefa e limites) e um grupo de controle. Quanto ao método, é </w:t>
      </w:r>
      <w:r>
        <w:rPr>
          <w:rFonts w:ascii="Times New Roman" w:hAnsi="Times New Roman" w:cs="Times New Roman"/>
          <w:b/>
          <w:i w:val="0"/>
          <w:sz w:val="24"/>
        </w:rPr>
        <w:t>dedutivo</w:t>
      </w:r>
      <w:r>
        <w:rPr>
          <w:rFonts w:ascii="Times New Roman" w:hAnsi="Times New Roman" w:cs="Times New Roman"/>
          <w:b w:val="0"/>
          <w:i w:val="0"/>
          <w:sz w:val="24"/>
        </w:rPr>
        <w:t>, porque parte de hipóteses declaradas antes da coleta e as submete a teste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2023). A pontuação adotada aqui é o crédito parcial, a fração de testes aprovados do verificador de cada tarefa. É uma adaptação, porque o DeepSWE grada de forma binária e declara a ausência de crédito parcial como limitação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[A MEDIR nas tarefas-piloto].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(7)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ferramenta, 10,2x os de prompt de sistema, 2,75x o número de esquemas e 13,6x os tokens. Uma medição anterior, com código independente e prompt diferente, obtivera 10,8x. A mesma execução produziu outros dois achados. Os três braços reenviam o histórico completo a cada passo, com incremento constante de 555, 625 e 698 bytes (pi, oh-my-pi e OpenCode), sem compactar nem truncar em cinco passos. Além do custo, Liu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(2023) medem queda de desempenho quando a informação relevante fica no meio de um contexto longo. O OpenCode gasta por sessão uma chamada auxiliar de 2.526 bytes que seria cobrada em um nível pago e não aparece no seu próprio relatório, divergência que o objetivo (6) quantifica. O delta de estado ambiente do pi nesta máquina é de 0 bytes, propriedade da máquina tanto quanto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a ser remedida onde o experimento correrá.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(5)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única; a comparação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total em dinheiro é zero, e o limite que restringe o experimento é a cota: cerca de 10 requisições a cada 6 minutos, medidas neste projeto, contra o número de requisições que uma tarefa do DeepSWE consome [A MEDIR nas tarefas-piloto]. Por isso a matriz é executada em lotes distribuídos ao longo de dias, e o custo monetário aparece apenas como contrafactual de ordem de grandeza sobre as tarifas pagas publicadas. O executor roda em docker ou modal, e este projeto usa docker (Datacurve, 2026); a GPU da estação é irrelevante para todo resultado reportado.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 [A DEFINIR com o orientador].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6023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referências — elaboração. 3. ed. Rio de Janeiro: ABNT, 2025a.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10520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citações em documentos —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15287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projeto de pesquisa — apresentação. 3. ed. Rio de Janeiro: ABNT, 2025b.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>Pier</w:t>
      </w:r>
      <w:r>
        <w:rPr>
          <w:rFonts w:ascii="Times New Roman" w:hAnsi="Times New Roman" w:cs="Times New Roman"/>
          <w:b w:val="0"/>
          <w:i w:val="0"/>
          <w:sz w:val="24"/>
        </w:rPr>
        <w:t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>HarnessRank</w:t>
      </w:r>
      <w:r>
        <w:rPr>
          <w:rFonts w:ascii="Times New Roman" w:hAnsi="Times New Roman" w:cs="Times New Roman"/>
          <w:b w:val="0"/>
          <w:i w:val="0"/>
          <w:sz w:val="24"/>
        </w:rPr>
        <w:t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>SWE-bench</w:t>
      </w:r>
      <w:r>
        <w:rPr>
          <w:rFonts w:ascii="Times New Roman" w:hAnsi="Times New Roman" w:cs="Times New Roman"/>
          <w:b w:val="0"/>
          <w:i w:val="0"/>
          <w:sz w:val="24"/>
        </w:rPr>
        <w:t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>Lost in the middle</w:t>
      </w:r>
      <w:r>
        <w:rPr>
          <w:rFonts w:ascii="Times New Roman" w:hAnsi="Times New Roman" w:cs="Times New Roman"/>
          <w:b w:val="0"/>
          <w:i w:val="0"/>
          <w:sz w:val="24"/>
        </w:rPr>
        <w:t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>Zen</w:t>
      </w:r>
      <w:r>
        <w:rPr>
          <w:rFonts w:ascii="Times New Roman" w:hAnsi="Times New Roman" w:cs="Times New Roman"/>
          <w:b w:val="0"/>
          <w:i w:val="0"/>
          <w:sz w:val="24"/>
        </w:rPr>
        <w:t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>SWE-agent</w:t>
      </w:r>
      <w:r>
        <w:rPr>
          <w:rFonts w:ascii="Times New Roman" w:hAnsi="Times New Roman" w:cs="Times New Roman"/>
          <w:b w:val="0"/>
          <w:i w:val="0"/>
          <w:sz w:val="24"/>
        </w:rPr>
        <w:t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>ReAct</w:t>
      </w:r>
      <w:r>
        <w:rPr>
          <w:rFonts w:ascii="Times New Roman" w:hAnsi="Times New Roman" w:cs="Times New Roman"/>
          <w:b w:val="0"/>
          <w:i w:val="0"/>
          <w:sz w:val="24"/>
        </w:rPr>
        <w:t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>harness-bench</w:t>
      </w:r>
      <w:r>
        <w:rPr>
          <w:rFonts w:ascii="Times New Roman" w:hAnsi="Times New Roman" w:cs="Times New Roman"/>
          <w:b w:val="0"/>
          <w:i w:val="0"/>
          <w:sz w:val="24"/>
        </w:rPr>
        <w:t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NBR 6023 e da NBR 10520, e o template diverge de si mesmo ao alternar entre “Acesso em:” e “Acessado em:” e ao envolver endereços eletrônicos em colchetes angulares. Onde há contradição interna, seguiu-se a edição vigente: NBR 6023:2025 na lista de referências, sem colchetes angulares e com “Acesso em:” em todas as entradas, e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