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INSTITUTO FEDERAL DE EDUCAÇÃO, CIÊNCIA E TECNOLOGIA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DE MATO GROSSO - CAMPUS OCTAYDE JORGE DA SILVA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DIRETORIA DE ENSINO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DEPARTAMENTO DE ÁREA DE INFORMÁTICA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Rule="auto"/>
        <w:jc w:val="center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FAUSTO YUUKI T.A FREIRE</w:t>
      </w:r>
      <w:r w:rsidDel="00000000" w:rsidR="00000000" w:rsidRPr="00000000">
        <w:rPr>
          <w:rtl w:val="0"/>
        </w:rPr>
      </w:r>
    </w:p>
    <w:p>
      <w:pPr>
        <w:spacing w:after="0" w:line="360" w:lineRule="auto"/>
        <w:jc w:val="center"/>
        <w:rPr/>
      </w:pPr>
      <w:r>
        <w:rPr>
          <w:b w:val="0"/>
          <w:i w:val="0"/>
          <w:bCs w:val="0"/>
          <w:iCs w:val="0"/>
          <w:sz w:val="32"/>
          <w:szCs w:val="32"/>
          <w:rtl w:val="0"/>
        </w:rPr>
        <w:t xml:space="preserve">COMO O HARNESS ALTERA O CUSTO E O DESEMPENHO DE UM MODELO DE LINGUAGEM: TOKENS E TAXA DE SUCESSO DE AGENTES DE CODIFICAÇÃO COM O MODELO FIXO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  <w:t xml:space="preserve">Cuiabá</w:t>
      </w:r>
    </w:p>
    <w:p w:rsidR="00000000" w:rsidDel="00000000" w:rsidP="00000000" w:rsidRDefault="00000000" w:rsidRPr="00000000" w14:paraId="00000014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  <w:t xml:space="preserve">2026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FAUSTO YUUKI T.A FREIRE</w:t>
      </w:r>
      <w:r w:rsidDel="00000000" w:rsidR="00000000" w:rsidRPr="00000000">
        <w:rPr>
          <w:rtl w:val="0"/>
        </w:rPr>
      </w:r>
    </w:p>
    <w:p>
      <w:pPr>
        <w:spacing w:after="0" w:line="360" w:lineRule="auto"/>
        <w:jc w:val="center"/>
        <w:rPr>
          <w:sz w:val="28"/>
          <w:szCs w:val="28"/>
        </w:rPr>
      </w:pPr>
      <w:r>
        <w:rPr>
          <w:b w:val="0"/>
          <w:i w:val="0"/>
          <w:bCs w:val="0"/>
          <w:iCs w:val="0"/>
          <w:sz w:val="32"/>
          <w:szCs w:val="32"/>
          <w:rtl w:val="0"/>
        </w:rPr>
        <w:t xml:space="preserve">COMO O HARNESS ALTERA O CUSTO E O DESEMPENHO DE UM MODELO DE LINGUAGEM: TOKENS E TAXA DE SUCESSO DE AGENTES DE CODIFICAÇÃO COM O MODELO FIXO</w:t>
      </w:r>
    </w:p>
    <w:p w:rsidR="00000000" w:rsidDel="00000000" w:rsidP="00000000" w:rsidRDefault="00000000" w:rsidRPr="00000000" w14:paraId="00000018">
      <w:pPr>
        <w:spacing w:after="0" w:line="240" w:lineRule="auto"/>
        <w:ind w:left="4535" w:firstLine="0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Projeto de pesquisa apresentado ao Departamento de Área de Informática do Instituto Federal de Educação, Ciência e Tecnologia de Mato Grosso, Campus Octayde Jorge da Silva, na disciplina de Metodologia Científica do curso de Sistemas para Internet.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before="240" w:line="240" w:lineRule="auto"/>
        <w:ind w:left="4535" w:firstLine="0"/>
        <w:jc w:val="both"/>
        <w:rPr/>
      </w:pPr>
      <w:r w:rsidDel="00000000" w:rsidR="00000000" w:rsidRPr="00000000">
        <w:rPr>
          <w:rtl w:val="0"/>
        </w:rPr>
        <w:t xml:space="preserve">Orientadora: Profa. Inara Silva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  <w:t xml:space="preserve">Cuiabá</w:t>
      </w:r>
    </w:p>
    <w:p w:rsidR="00000000" w:rsidDel="00000000" w:rsidP="00000000" w:rsidRDefault="00000000" w:rsidRPr="00000000" w14:paraId="00000021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  <w:t xml:space="preserve">2026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480" w:lineRule="auto"/>
        <w:jc w:val="center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SUMÁRIO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right" w:leader="none" w:pos="9071"/>
        </w:tabs>
        <w:spacing w:after="0" w:line="360" w:lineRule="auto"/>
        <w:rPr/>
      </w:pPr>
      <w:r w:rsidDel="00000000" w:rsidR="00000000" w:rsidRPr="00000000">
        <w:rPr>
          <w:rtl w:val="0"/>
        </w:rPr>
        <w:t xml:space="preserve">1 INTRODUÇÃO</w:t>
        <w:tab/>
        <w:t xml:space="preserve">1</w:t>
      </w:r>
    </w:p>
    <w:p w:rsidR="00000000" w:rsidDel="00000000" w:rsidP="00000000" w:rsidRDefault="00000000" w:rsidRPr="00000000" w14:paraId="00000025">
      <w:pPr>
        <w:tabs>
          <w:tab w:val="right" w:leader="none" w:pos="9071"/>
        </w:tabs>
        <w:spacing w:after="0" w:line="360" w:lineRule="auto"/>
        <w:rPr/>
      </w:pPr>
      <w:r w:rsidDel="00000000" w:rsidR="00000000" w:rsidRPr="00000000">
        <w:rPr>
          <w:rtl w:val="0"/>
        </w:rPr>
        <w:t xml:space="preserve">2 REFERENCIAL TEÓRICO</w:t>
        <w:tab/>
        <w:t xml:space="preserve">3</w:t>
      </w:r>
    </w:p>
    <w:p w:rsidR="00000000" w:rsidDel="00000000" w:rsidP="00000000" w:rsidRDefault="00000000" w:rsidRPr="00000000" w14:paraId="00000026">
      <w:pPr>
        <w:tabs>
          <w:tab w:val="right" w:leader="none" w:pos="9071"/>
        </w:tabs>
        <w:spacing w:after="0" w:line="360" w:lineRule="auto"/>
        <w:rPr/>
      </w:pPr>
      <w:r w:rsidDel="00000000" w:rsidR="00000000" w:rsidRPr="00000000">
        <w:rPr>
          <w:rtl w:val="0"/>
        </w:rPr>
        <w:t xml:space="preserve">3 MATERIAL E MÉTODO</w:t>
        <w:tab/>
        <w:t xml:space="preserve">4</w:t>
      </w:r>
    </w:p>
    <w:p w:rsidR="00000000" w:rsidDel="00000000" w:rsidP="00000000" w:rsidRDefault="00000000" w:rsidRPr="00000000" w14:paraId="00000027">
      <w:pPr>
        <w:tabs>
          <w:tab w:val="right" w:leader="none" w:pos="9071"/>
        </w:tabs>
        <w:spacing w:after="0" w:line="360" w:lineRule="auto"/>
        <w:rPr/>
      </w:pPr>
      <w:r w:rsidDel="00000000" w:rsidR="00000000" w:rsidRPr="00000000">
        <w:rPr>
          <w:rtl w:val="0"/>
        </w:rPr>
        <w:t xml:space="preserve">4 ORÇAMENTO</w:t>
        <w:tab/>
        <w:t xml:space="preserve">7</w:t>
      </w:r>
    </w:p>
    <w:p w:rsidR="00000000" w:rsidDel="00000000" w:rsidP="00000000" w:rsidRDefault="00000000" w:rsidRPr="00000000" w14:paraId="00000028">
      <w:pPr>
        <w:tabs>
          <w:tab w:val="right" w:leader="none" w:pos="9071"/>
        </w:tabs>
        <w:spacing w:after="0" w:line="360" w:lineRule="auto"/>
        <w:rPr/>
      </w:pPr>
      <w:r w:rsidDel="00000000" w:rsidR="00000000" w:rsidRPr="00000000">
        <w:rPr>
          <w:rtl w:val="0"/>
        </w:rPr>
        <w:t xml:space="preserve">5 CRONOGRAMA</w:t>
        <w:tab/>
        <w:t xml:space="preserve">7</w:t>
      </w:r>
    </w:p>
    <w:p w:rsidR="00000000" w:rsidDel="00000000" w:rsidP="00000000" w:rsidRDefault="00000000" w:rsidRPr="00000000" w14:paraId="00000029">
      <w:pPr>
        <w:tabs>
          <w:tab w:val="right" w:leader="none" w:pos="9071"/>
        </w:tabs>
        <w:spacing w:after="0" w:line="360" w:lineRule="auto"/>
        <w:rPr/>
        <w:sectPr>
          <w:pgSz w:h="16838" w:w="11906" w:orient="portrait"/>
          <w:pgMar w:bottom="1134" w:top="1701" w:left="1701" w:right="1134" w:header="720" w:footer="720"/>
          <w:pgNumType w:start="1"/>
        </w:sectPr>
      </w:pPr>
      <w:r w:rsidDel="00000000" w:rsidR="00000000" w:rsidRPr="00000000">
        <w:rPr>
          <w:rtl w:val="0"/>
        </w:rPr>
        <w:t xml:space="preserve">6 REFERÊNCIAS</w:t>
        <w:tab/>
        <w:t xml:space="preserve">8</w:t>
      </w:r>
    </w:p>
    <w:p w:rsidR="00000000" w:rsidDel="00000000" w:rsidP="00000000" w:rsidRDefault="00000000" w:rsidRPr="00000000" w14:paraId="0000002A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 INTRODUÇÃO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Justificativa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Os agentes de codificação avançam em duas frentes: o modelo de linguagem e a camada de software ao redor dele, 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(Claude Code, Codex, Cursor, OpenCode, pi), que muda o que o mesmo modelo custa e entrega. No FrontierHarness (Runta, 2026), doze configurações de nove </w:t>
      </w:r>
      <w:r>
        <w:rPr>
          <w:b w:val="0"/>
          <w:i/>
          <w:bCs w:val="0"/>
          <w:iCs w:val="0"/>
          <w:rtl w:val="0"/>
        </w:rPr>
        <w:t xml:space="preserve">harnesses</w:t>
      </w:r>
      <w:r>
        <w:rPr>
          <w:b w:val="0"/>
          <w:i w:val="0"/>
          <w:bCs w:val="0"/>
          <w:iCs w:val="0"/>
          <w:rtl w:val="0"/>
        </w:rPr>
        <w:t xml:space="preserve"> sobre o mesmo modelo ficam entre 50,0% e 66,7% de aprovação, e o custo por tarefa concluída vai de US$ 1,05 a US$ 18,34; o pi conclui 60,0% a US$ 2,43 e o OpenCode 50,0% a US$ 3,24.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As ferramentas seguem o mesmo movimento: Next.js, TanStack e Effect se adaptam ao trabalho de agentes. Escolher o modelo deixou de bastar; o desenvolvedor, na assinatura, e a empresa, em escala, precisam conhecer o que avança junto, e 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é a parte dessa escolha que ninguém mediu na construção de um produto inteiro, já que as comparações publicadas usam tarefas isoladas. Este projeto mede esse custo construindo o Finn duas vezes, com o OpenCode e com o pi, sobre o mesmo modelo e a mesma especificação, com os tokens contados fora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.</w:t>
      </w:r>
    </w:p>
    <w:p w:rsidR="00000000" w:rsidDel="00000000" w:rsidP="00000000" w:rsidRDefault="00000000" w:rsidRPr="00000000" w14:paraId="0000002E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Tema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O efeito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sobre o custo e o desempenho de um modelo de linguagem fixo: quantos tokens e que taxa de sucesso o mesmo modelo entrega ao construir o mesmo produto sob dois </w:t>
      </w:r>
      <w:r>
        <w:rPr>
          <w:b w:val="0"/>
          <w:i/>
          <w:bCs w:val="0"/>
          <w:iCs w:val="0"/>
          <w:rtl w:val="0"/>
        </w:rPr>
        <w:t xml:space="preserve">harnesses</w:t>
      </w:r>
      <w:r>
        <w:rPr>
          <w:b w:val="0"/>
          <w:i w:val="0"/>
          <w:bCs w:val="0"/>
          <w:iCs w:val="0"/>
          <w:rtl w:val="0"/>
        </w:rPr>
        <w:t xml:space="preserve"> diferentes.</w:t>
      </w:r>
    </w:p>
    <w:p w:rsidR="00000000" w:rsidDel="00000000" w:rsidP="00000000" w:rsidRDefault="00000000" w:rsidRPr="00000000" w14:paraId="00000030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Problema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Com o modelo já escolhido, quanto mudam o custo em tokens e a taxa de sucesso ao construir o mesmo software com um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em vez de outro, e quanto dessa diferença vem da carga fixa que cada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envia em toda requisição?</w:t>
      </w:r>
    </w:p>
    <w:p w:rsidR="00000000" w:rsidDel="00000000" w:rsidP="00000000" w:rsidRDefault="00000000" w:rsidRPr="00000000" w14:paraId="00000032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Objetivo geral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Medir, com o modelo fixo, a diferença de tokens e de taxa de sucesso atribuível ao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na construção do mesmo produto a partir da mesma especificação, com o OpenCode e o pi como braços, separando a parcela que vem da carga fixa por requisição, e entregar o resultado como critério de escolha reproduzível.</w:t>
      </w:r>
    </w:p>
    <w:p w:rsidR="00000000" w:rsidDel="00000000" w:rsidP="00000000" w:rsidRDefault="00000000" w:rsidRPr="00000000" w14:paraId="00000034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Objetivos específicos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left="709" w:firstLine="0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1) construir o instrumento externo que conta requisições, tokens e latência por braço;</w:t>
      </w:r>
    </w:p>
    <w:p>
      <w:pPr>
        <w:spacing w:after="0" w:line="360" w:lineRule="auto"/>
        <w:ind w:left="709" w:firstLine="0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2) escrever a especificação do Finn em nove unidades, com testes de aceitação do autor;</w:t>
      </w:r>
    </w:p>
    <w:p>
      <w:pPr>
        <w:spacing w:after="0" w:line="360" w:lineRule="auto"/>
        <w:ind w:left="709" w:firstLine="0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3) preparar o espaço de trabalho inicial idêntico para os braços, congelado por hash;</w:t>
      </w:r>
    </w:p>
    <w:p>
      <w:pPr>
        <w:spacing w:after="0" w:line="360" w:lineRule="auto"/>
        <w:ind w:left="709" w:firstLine="0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4) construir o Finn nos dois </w:t>
      </w:r>
      <w:r>
        <w:rPr>
          <w:b w:val="0"/>
          <w:i/>
          <w:bCs w:val="0"/>
          <w:iCs w:val="0"/>
          <w:rtl w:val="0"/>
        </w:rPr>
        <w:t xml:space="preserve">harnesses</w:t>
      </w:r>
      <w:r>
        <w:rPr>
          <w:b w:val="0"/>
          <w:i w:val="0"/>
          <w:bCs w:val="0"/>
          <w:iCs w:val="0"/>
          <w:rtl w:val="0"/>
        </w:rPr>
        <w:t xml:space="preserve">, mesmo modelo e </w:t>
      </w:r>
      <w:r>
        <w:rPr>
          <w:b w:val="0"/>
          <w:i/>
          <w:bCs w:val="0"/>
          <w:iCs w:val="0"/>
          <w:rtl w:val="0"/>
        </w:rPr>
        <w:t xml:space="preserve">prompts</w:t>
      </w:r>
      <w:r>
        <w:rPr>
          <w:b w:val="0"/>
          <w:i w:val="0"/>
          <w:bCs w:val="0"/>
          <w:iCs w:val="0"/>
          <w:rtl w:val="0"/>
        </w:rPr>
        <w:t xml:space="preserve">, com repetição;</w:t>
      </w:r>
    </w:p>
    <w:p>
      <w:pPr>
        <w:spacing w:after="0" w:line="360" w:lineRule="auto"/>
        <w:ind w:left="709" w:firstLine="0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5) repetir em um segundo modelo e verificar se a ordenação entre os braços se mantém;</w:t>
      </w:r>
    </w:p>
    <w:p>
      <w:pPr>
        <w:spacing w:after="0" w:line="360" w:lineRule="auto"/>
        <w:ind w:left="709" w:firstLine="0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6) medir a divergência entre tokens relatados pelo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e medidos no instrumento;</w:t>
      </w:r>
    </w:p>
    <w:p>
      <w:pPr>
        <w:spacing w:after="0" w:line="360" w:lineRule="auto"/>
        <w:ind w:left="709" w:firstLine="0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7) publicar executor, </w:t>
      </w:r>
      <w:r>
        <w:rPr>
          <w:b w:val="0"/>
          <w:i/>
          <w:bCs w:val="0"/>
          <w:iCs w:val="0"/>
          <w:rtl w:val="0"/>
        </w:rPr>
        <w:t xml:space="preserve">prompts</w:t>
      </w:r>
      <w:r>
        <w:rPr>
          <w:b w:val="0"/>
          <w:i w:val="0"/>
          <w:bCs w:val="0"/>
          <w:iCs w:val="0"/>
          <w:rtl w:val="0"/>
        </w:rPr>
        <w:t xml:space="preserve">, testes, dados e scripts, reexecutáveis a custo zero.</w:t>
      </w:r>
    </w:p>
    <w:p w:rsidR="00000000" w:rsidDel="00000000" w:rsidP="00000000" w:rsidRDefault="00000000" w:rsidRPr="00000000" w14:paraId="0000003C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Metodologia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Pesquisa aplicada, quali-quantitativa, exploratória e experimental, de método dedutivo. Os dados virão de um </w:t>
      </w:r>
      <w:r>
        <w:rPr>
          <w:b w:val="0"/>
          <w:i/>
          <w:bCs w:val="0"/>
          <w:iCs w:val="0"/>
          <w:rtl w:val="0"/>
        </w:rPr>
        <w:t xml:space="preserve">proxy</w:t>
      </w:r>
      <w:r>
        <w:rPr>
          <w:b w:val="0"/>
          <w:i w:val="0"/>
          <w:bCs w:val="0"/>
          <w:iCs w:val="0"/>
          <w:rtl w:val="0"/>
        </w:rPr>
        <w:t xml:space="preserve"> reverso entre cada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e o modelo, que contará requisições, tokens e latência igual para os dois braços. Cada braço construirá o Finn do zero, em nove unidades, ao menos três vezes. Espera-se obter a diferença de tokens e de taxa de sucesso atribuível ao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, comparada por teste pareado por unidade. A seção 3 detalha material, método e estatística.</w:t>
      </w:r>
    </w:p>
    <w:p w:rsidR="00000000" w:rsidDel="00000000" w:rsidP="00000000" w:rsidRDefault="00000000" w:rsidRPr="00000000" w14:paraId="0000003E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Hipótese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H1: entre o OpenCode e o pi sobre o mesmo modelo, a diferença de tokens para construir o Finn a partir da mesma especificação é relevante para quem paga, comparável à de trocar de modelo sob um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fixo. H1 será refutada se os intervalos de tokens por construção se sobrepuserem e o teste pareado por unidade não apontar diferença.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H2: a carga fixa por requisição (</w:t>
      </w:r>
      <w:r>
        <w:rPr>
          <w:b w:val="0"/>
          <w:i/>
          <w:bCs w:val="0"/>
          <w:iCs w:val="0"/>
          <w:rtl w:val="0"/>
        </w:rPr>
        <w:t xml:space="preserve">prompt</w:t>
      </w:r>
      <w:r>
        <w:rPr>
          <w:b w:val="0"/>
          <w:i w:val="0"/>
          <w:bCs w:val="0"/>
          <w:iCs w:val="0"/>
          <w:rtl w:val="0"/>
        </w:rPr>
        <w:t xml:space="preserve"> de sistema e esquemas de ferramenta, medidos na Camada 1) explica a maior parte dessa diferença; o número de passos por unidade, a menor. H2 será refutada se os passos explicarem a maior parte, desfecho possível se 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com mais ferramentas concluir a unidade em menos passos.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Este trabalho tem seis seções. A seção 1 traz justificativa, tema, problema, objetivos, metodologia e hipóteses. A seção 2 posiciona o trabalho na literatura e delimita as pendências que ele responde. A seção 3 descreve material e método: classificação, camadas de medição, braços, produto e especificação, limites, estatística e limitações. A seção 4 apresenta o orçamento, a seção 5 o cronograma e a seção 6 as referências.</w:t>
      </w:r>
    </w:p>
    <w:p w:rsidR="00000000" w:rsidDel="00000000" w:rsidP="00000000" w:rsidRDefault="00000000" w:rsidRPr="00000000" w14:paraId="00000042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 REFERENCIAL TEÓRICO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Segundo Ning et al. (2026, §2, tradução nossa), um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“converte um modelo de linguagem sem estado em um agente funcional ao ancorar suas saídas em execução externa, estado persistente e realimentação verificável”. Wang et al. (2026) o descrevem pelo que faz: monta os </w:t>
      </w:r>
      <w:r>
        <w:rPr>
          <w:b w:val="0"/>
          <w:i/>
          <w:bCs w:val="0"/>
          <w:iCs w:val="0"/>
          <w:rtl w:val="0"/>
        </w:rPr>
        <w:t xml:space="preserve">prompts</w:t>
      </w:r>
      <w:r>
        <w:rPr>
          <w:b w:val="0"/>
          <w:i w:val="0"/>
          <w:bCs w:val="0"/>
          <w:iCs w:val="0"/>
          <w:rtl w:val="0"/>
        </w:rPr>
        <w:t xml:space="preserve">, gerencia o estado, invoca as ferramentas e coordena o laço. O pi é um laço próximo do ReAct mínimo (Yao et al., 2022), com quatro ferramentas; o OpenCode traz planejamento, compactação, subagentes e permissões. Lin et al. (2026) delimitam o que essa camada contém:</w:t>
      </w:r>
    </w:p>
    <w:p w:rsidR="00000000" w:rsidDel="00000000" w:rsidP="00000000" w:rsidRDefault="00000000" w:rsidRPr="00000000" w14:paraId="00000044">
      <w:pPr>
        <w:spacing w:after="240" w:before="240" w:line="240" w:lineRule="auto"/>
        <w:ind w:left="2268" w:firstLine="0"/>
        <w:jc w:val="both"/>
        <w:rPr/>
      </w:pPr>
      <w:r w:rsidDel="00000000" w:rsidR="00000000" w:rsidRPr="00000000">
        <w:rPr>
          <w:sz w:val="20"/>
          <w:szCs w:val="20"/>
          <w:rtl w:val="0"/>
        </w:rPr>
        <w:t xml:space="preserve">Na prática, esse progresso depende não apenas do modelo de linguagem subjacente, mas igualmente dos componentes de engenharia que o cercam: o prompt de sistema que molda o estilo de trabalho, as ferramentas que expõem o sistema de arquivos e o shell, e o middleware que controla contexto, execução e recuperação. Esse conjunto de componentes externos ao modelo e editáveis é chamado coletivamente de harness do agente. (Lin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et al.</w:t>
      </w:r>
      <w:r w:rsidDel="00000000" w:rsidR="00000000" w:rsidRPr="00000000">
        <w:rPr>
          <w:sz w:val="20"/>
          <w:szCs w:val="20"/>
          <w:rtl w:val="0"/>
        </w:rPr>
        <w:t xml:space="preserve">, 2026, §1, tradução nossa).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rtl w:val="0"/>
        </w:rPr>
        <w:t xml:space="preserve">É só esse conjunto que varia entre os braços deste experimento; o modelo fica fixo.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 interface entre modelo e ambiente é objeto de projeto desde Yang et al. (2024). Na Tabela 1 de Lin et al. (2026), </w:t>
      </w:r>
      <w:r>
        <w:rPr>
          <w:b w:val="0"/>
          <w:i/>
          <w:bCs w:val="0"/>
          <w:iCs w:val="0"/>
          <w:rtl w:val="0"/>
        </w:rPr>
        <w:t xml:space="preserve">harnesses</w:t>
      </w:r>
      <w:r>
        <w:rPr>
          <w:b w:val="0"/>
          <w:i w:val="0"/>
          <w:bCs w:val="0"/>
          <w:iCs w:val="0"/>
          <w:rtl w:val="0"/>
        </w:rPr>
        <w:t xml:space="preserve"> escritos por humanos sobre um modelo congelado (GPT-5.4, Terminal-Bench 2, 89 tarefas) vão de 47,2% de aprovação no OpenCode a 71,9% no Codex, 24,7 pontos percentuais (cálculo do autor). Zhang et al. (2026) enunciam a Binding Constraint Thesis: com modelos de fronteira comparáveis, a parcela do desempenho que vem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é comparável ou maior que a do modelo. Em Alier Forment et al. (2026), os dois </w:t>
      </w:r>
      <w:r>
        <w:rPr>
          <w:b w:val="0"/>
          <w:i/>
          <w:bCs w:val="0"/>
          <w:iCs w:val="0"/>
          <w:rtl w:val="0"/>
        </w:rPr>
        <w:t xml:space="preserve">scaffoldings</w:t>
      </w:r>
      <w:r>
        <w:rPr>
          <w:b w:val="0"/>
          <w:i w:val="0"/>
          <w:bCs w:val="0"/>
          <w:iCs w:val="0"/>
          <w:rtl w:val="0"/>
        </w:rPr>
        <w:t xml:space="preserve"> sem MCP saíram de 5,0x a 28x mais baratos que os cinco com MCP, e o pi foi o mais barato. Três fontes não revisadas por pares apontam o mesmo. O HarnessRank (2026) ordena </w:t>
      </w:r>
      <w:r>
        <w:rPr>
          <w:b w:val="0"/>
          <w:i/>
          <w:bCs w:val="0"/>
          <w:iCs w:val="0"/>
          <w:rtl w:val="0"/>
        </w:rPr>
        <w:t xml:space="preserve">harnesses</w:t>
      </w:r>
      <w:r>
        <w:rPr>
          <w:b w:val="0"/>
          <w:i w:val="0"/>
          <w:bCs w:val="0"/>
          <w:iCs w:val="0"/>
          <w:rtl w:val="0"/>
        </w:rPr>
        <w:t xml:space="preserve"> por aprovação com modelo fixo e publica custo ao lado. No FrontierHarness (Runta, 2026), o Codex conclui 66,7% das tarefas a US$ 3,47 por tarefa e o Claude Code 63,3% a US$ 18,34, 5,3x mais caro (cálculo do autor). A Databricks registra custo por tarefa variando mais de 2x sem mudança de qualidade (Databricks, 2026 apud Earendil, 2026).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 primeira pendência é a atribuição. As comparações publicadas usam tarefas isoladas e agregam </w:t>
      </w:r>
      <w:r>
        <w:rPr>
          <w:b w:val="0"/>
          <w:i/>
          <w:bCs w:val="0"/>
          <w:iCs w:val="0"/>
          <w:rtl w:val="0"/>
        </w:rPr>
        <w:t xml:space="preserve">prompt</w:t>
      </w:r>
      <w:r>
        <w:rPr>
          <w:b w:val="0"/>
          <w:i w:val="0"/>
          <w:bCs w:val="0"/>
          <w:iCs w:val="0"/>
          <w:rtl w:val="0"/>
        </w:rPr>
        <w:t xml:space="preserve">, ferramentas, contexto e laço sem separá-los. Ning et al. (2026) nomeiam a lacuna em §5.2.1 e pedem, em §5.2.7, “métricas que isolem componentes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” (Ning et al., 2026, tradução nossa). Lee et al. (2026, Tabela 7) mostram que essas decisões são isoláveis: uma busca que edita só o código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, com o modelo fixo, chegou a 76,4% no TerminalBench-2 (89 tarefas, Claude Opus 4.6) contra 74,7% do Terminus-KIRA, de onde partiu. Este projeto responde pelo lado da medição: separa, em cada requisição, a carga fixa do conteúdo da conversa, ao longo de um produto completo.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 segunda pendência é a instrumentação. O que um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relata sobre o próprio custo diverge do que gasta, e cada um omite um conjunto diferente de chamadas ao modelo. Kapoor et al. (2024) mostram que a avaliação de agentes ignora o custo e erra sobre a origem dos ganhos; Kapoor et al. (2025) registram que comparações entre </w:t>
      </w:r>
      <w:r>
        <w:rPr>
          <w:b w:val="0"/>
          <w:i/>
          <w:bCs w:val="0"/>
          <w:iCs w:val="0"/>
          <w:rtl w:val="0"/>
        </w:rPr>
        <w:t xml:space="preserve">harnesses</w:t>
      </w:r>
      <w:r>
        <w:rPr>
          <w:b w:val="0"/>
          <w:i w:val="0"/>
          <w:bCs w:val="0"/>
          <w:iCs w:val="0"/>
          <w:rtl w:val="0"/>
        </w:rPr>
        <w:t xml:space="preserve"> são raras. A medição deste projeto ocorre em um </w:t>
      </w:r>
      <w:r>
        <w:rPr>
          <w:b w:val="0"/>
          <w:i/>
          <w:bCs w:val="0"/>
          <w:iCs w:val="0"/>
          <w:rtl w:val="0"/>
        </w:rPr>
        <w:t xml:space="preserve">proxy</w:t>
      </w:r>
      <w:r>
        <w:rPr>
          <w:b w:val="0"/>
          <w:i w:val="0"/>
          <w:bCs w:val="0"/>
          <w:iCs w:val="0"/>
          <w:rtl w:val="0"/>
        </w:rPr>
        <w:t xml:space="preserve"> externo, e o objetivo (6) quantifica a divergência.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As métricas serão tokens por construção, ao lado da fração de testes aprovados, e o Succ/Mtok (sucessos por milhão de tokens) de Lin et al. (2026). O efeito é específico do modelo e pode inverter de sinal: no Holistic Agent Leaderboard, os modelos da Anthropic vão melhor com o BrowserUse e os da OpenAI com o SeeAct (Kapoor et al., 2025), e o FrontierHarness registra, para o Claude Code, </w:t>
      </w:r>
      <w:r>
        <w:rPr>
          <w:b w:val="0"/>
          <w:i/>
          <w:bCs w:val="0"/>
          <w:iCs w:val="0"/>
          <w:rtl w:val="0"/>
        </w:rPr>
        <w:t xml:space="preserve">cache</w:t>
      </w:r>
      <w:r>
        <w:rPr>
          <w:b w:val="0"/>
          <w:i w:val="0"/>
          <w:bCs w:val="0"/>
          <w:iCs w:val="0"/>
          <w:rtl w:val="0"/>
        </w:rPr>
        <w:t xml:space="preserve"> de 25,0% ponderado por tokens contra 67,8% na célula mediana (Runta, 2026). O desenho terá dois níveis de modelo, com conclusões por nível.</w:t>
      </w:r>
    </w:p>
    <w:p w:rsidR="00000000" w:rsidDel="00000000" w:rsidP="00000000" w:rsidRDefault="00000000" w:rsidRPr="00000000" w14:paraId="0000004A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3 MATERIAL E MÉTODO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Quanto à finalidade, a pesquisa é aplicada; o produto é um critério de escolha para o desenvolvedor e a empresa. Quanto à abordagem, é quali-quantitativa: tokens e sucesso são medidas quantitativas, e a atribuição da diferença à carga fixa ou aos passos é qualitativa. Quanto aos objetivos, é exploratória, já que dois </w:t>
      </w:r>
      <w:r>
        <w:rPr>
          <w:b w:val="0"/>
          <w:i/>
          <w:bCs w:val="0"/>
          <w:iCs w:val="0"/>
          <w:rtl w:val="0"/>
        </w:rPr>
        <w:t xml:space="preserve">harnesses</w:t>
      </w:r>
      <w:r>
        <w:rPr>
          <w:b w:val="0"/>
          <w:i w:val="0"/>
          <w:bCs w:val="0"/>
          <w:iCs w:val="0"/>
          <w:rtl w:val="0"/>
        </w:rPr>
        <w:t xml:space="preserve"> construindo o mesmo produto completo a partir da mesma especificação não têm precedente publicado. Quanto aos procedimentos, é experimental, com variável independente manipulada (o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) e variáveis controladas (modelo, especificação, espaço de trabalho inicial e limites). Quanto ao método, é dedutiva, com hipóteses declaradas antes da coleta.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Duas partes deste projeto usaram um agente de codificação, declarado conforme a Portaria CNPq nº 2.664/2026 (Brasil, 2026): a ferramenta foi o Claude Code e a finalidade foi entender o tema, buscar artigos e registrar as decisões de produto e de pilha do Finn antes do experimento. O levantamento das fontes seguiu o </w:t>
      </w:r>
      <w:r>
        <w:rPr>
          <w:b w:val="0"/>
          <w:i/>
          <w:bCs w:val="0"/>
          <w:iCs w:val="0"/>
          <w:rtl w:val="0"/>
        </w:rPr>
        <w:t xml:space="preserve">LLM Wiki</w:t>
      </w:r>
      <w:r>
        <w:rPr>
          <w:b w:val="0"/>
          <w:i w:val="0"/>
          <w:bCs w:val="0"/>
          <w:iCs w:val="0"/>
          <w:rtl w:val="0"/>
        </w:rPr>
        <w:t xml:space="preserve"> de Karpathy (2026), mantido no repositório (YuukiFST, 2026c): fontes brutas guardadas sem alteração, páginas de síntese escritas pelo agente, registro cronológico e fila de revisão. O autor curou as fontes e conferiu cada afirmação citada na obra original. A especificação do Finn usou o Helmsman (YuukiFST, 2026a), rotina do autor que separa o que o sistema faz, respondido só pelo autor, de como construir, decidido pelo agente e registrado em </w:t>
      </w:r>
      <w:r>
        <w:rPr>
          <w:b w:val="0"/>
          <w:i/>
          <w:bCs w:val="0"/>
          <w:iCs w:val="0"/>
          <w:rtl w:val="0"/>
        </w:rPr>
        <w:t xml:space="preserve">ticket</w:t>
      </w:r>
      <w:r>
        <w:rPr>
          <w:b w:val="0"/>
          <w:i w:val="0"/>
          <w:bCs w:val="0"/>
          <w:iCs w:val="0"/>
          <w:rtl w:val="0"/>
        </w:rPr>
        <w:t xml:space="preserve"> com alternativas e critério; decisões que dependem de fato externo passam por subagentes de pesquisa. O autor responde pelo texto final e por cada decisão de produto.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 medição terá duas camadas. A Camada 1 mede a forma da requisição contra um </w:t>
      </w:r>
      <w:r>
        <w:rPr>
          <w:b w:val="0"/>
          <w:i/>
          <w:bCs w:val="0"/>
          <w:iCs w:val="0"/>
          <w:rtl w:val="0"/>
        </w:rPr>
        <w:t xml:space="preserve">endpoint</w:t>
      </w:r>
      <w:r>
        <w:rPr>
          <w:b w:val="0"/>
          <w:i w:val="0"/>
          <w:bCs w:val="0"/>
          <w:iCs w:val="0"/>
          <w:rtl w:val="0"/>
        </w:rPr>
        <w:t xml:space="preserve"> simulado: esquemas de ferramenta, bytes de </w:t>
      </w:r>
      <w:r>
        <w:rPr>
          <w:b w:val="0"/>
          <w:i/>
          <w:bCs w:val="0"/>
          <w:iCs w:val="0"/>
          <w:rtl w:val="0"/>
        </w:rPr>
        <w:t xml:space="preserve">prompt</w:t>
      </w:r>
      <w:r>
        <w:rPr>
          <w:b w:val="0"/>
          <w:i w:val="0"/>
          <w:bCs w:val="0"/>
          <w:iCs w:val="0"/>
          <w:rtl w:val="0"/>
        </w:rPr>
        <w:t xml:space="preserve"> de sistema e tokens por requisição, na primeira e a cada passo. É determinística, não consome cota e fornece a carga fixa de que H2 depende. A Camada 2 mede a construção do produto contra o modelo real; consome cota e é estocástica. Mais bytes por requisição não significam resultado pior; a Camada 2 diz quanto dessa carga chega ao resultado.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Os braços serão o OpenCode (Opencode, 2026a) e o pi (Earendil, 2026): código aberto, sem interface (opencode run e pi --mode json) e URL base compatível com a API da OpenAI, o que os faz atravessar o </w:t>
      </w:r>
      <w:r>
        <w:rPr>
          <w:b w:val="0"/>
          <w:i/>
          <w:bCs w:val="0"/>
          <w:iCs w:val="0"/>
          <w:rtl w:val="0"/>
        </w:rPr>
        <w:t xml:space="preserve">proxy</w:t>
      </w:r>
      <w:r>
        <w:rPr>
          <w:b w:val="0"/>
          <w:i w:val="0"/>
          <w:bCs w:val="0"/>
          <w:iCs w:val="0"/>
          <w:rtl w:val="0"/>
        </w:rPr>
        <w:t xml:space="preserve">. O pi envia quatro ferramentas e um </w:t>
      </w:r>
      <w:r>
        <w:rPr>
          <w:b w:val="0"/>
          <w:i/>
          <w:bCs w:val="0"/>
          <w:iCs w:val="0"/>
          <w:rtl w:val="0"/>
        </w:rPr>
        <w:t xml:space="preserve">prompt</w:t>
      </w:r>
      <w:r>
        <w:rPr>
          <w:b w:val="0"/>
          <w:i w:val="0"/>
          <w:bCs w:val="0"/>
          <w:iCs w:val="0"/>
          <w:rtl w:val="0"/>
        </w:rPr>
        <w:t xml:space="preserve"> de sistema curto, sem subagentes nem permissões; o OpenCode envia mais esquemas, </w:t>
      </w:r>
      <w:r>
        <w:rPr>
          <w:b w:val="0"/>
          <w:i/>
          <w:bCs w:val="0"/>
          <w:iCs w:val="0"/>
          <w:rtl w:val="0"/>
        </w:rPr>
        <w:t xml:space="preserve">prompt</w:t>
      </w:r>
      <w:r>
        <w:rPr>
          <w:b w:val="0"/>
          <w:i w:val="0"/>
          <w:bCs w:val="0"/>
          <w:iCs w:val="0"/>
          <w:rtl w:val="0"/>
        </w:rPr>
        <w:t xml:space="preserve"> maior, subagentes, permissões e compactação de contexto. As versões serão fixadas e registradas no repositório (YuukiFST, 2026c). O projeto não escreve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algum; escreve o instrumento, os </w:t>
      </w:r>
      <w:r>
        <w:rPr>
          <w:b w:val="0"/>
          <w:i/>
          <w:bCs w:val="0"/>
          <w:iCs w:val="0"/>
          <w:rtl w:val="0"/>
        </w:rPr>
        <w:t xml:space="preserve">prompts</w:t>
      </w:r>
      <w:r>
        <w:rPr>
          <w:b w:val="0"/>
          <w:i w:val="0"/>
          <w:bCs w:val="0"/>
          <w:iCs w:val="0"/>
          <w:rtl w:val="0"/>
        </w:rPr>
        <w:t xml:space="preserve"> e os testes de aceitação.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O produto será o Finn, SaaS multiempresa em que a empresa cliente fala com o próprio financeiro por voz e recebe lançamento, relatório e aviso no celular (YuukiFST, 2026b). Produto e pilha foram decididos antes do experimento em 21 </w:t>
      </w:r>
      <w:r>
        <w:rPr>
          <w:b w:val="0"/>
          <w:i/>
          <w:bCs w:val="0"/>
          <w:iCs w:val="0"/>
          <w:rtl w:val="0"/>
        </w:rPr>
        <w:t xml:space="preserve">tickets</w:t>
      </w:r>
      <w:r>
        <w:rPr>
          <w:b w:val="0"/>
          <w:i w:val="0"/>
          <w:bCs w:val="0"/>
          <w:iCs w:val="0"/>
          <w:rtl w:val="0"/>
        </w:rPr>
        <w:t xml:space="preserve"> fechados. A partir deles o autor escreverá uma especificação única, congelada por SHA-256: produto, pilha (TypeScript, TanStack Start, tRPC, Drizzle ORM, PostgreSQL, Vitest), restrições e nove unidades, uma por </w:t>
      </w:r>
      <w:r>
        <w:rPr>
          <w:b w:val="0"/>
          <w:i/>
          <w:bCs w:val="0"/>
          <w:iCs w:val="0"/>
          <w:rtl w:val="0"/>
        </w:rPr>
        <w:t xml:space="preserve">ticket</w:t>
      </w:r>
      <w:r>
        <w:rPr>
          <w:b w:val="0"/>
          <w:i w:val="0"/>
          <w:bCs w:val="0"/>
          <w:iCs w:val="0"/>
          <w:rtl w:val="0"/>
        </w:rPr>
        <w:t xml:space="preserve"> técnico, em ordem de dependência: separação por empresa, governança, </w:t>
      </w:r>
      <w:r>
        <w:rPr>
          <w:b w:val="0"/>
          <w:i/>
          <w:bCs w:val="0"/>
          <w:iCs w:val="0"/>
          <w:rtl w:val="0"/>
        </w:rPr>
        <w:t xml:space="preserve">flags</w:t>
      </w:r>
      <w:r>
        <w:rPr>
          <w:b w:val="0"/>
          <w:i w:val="0"/>
          <w:bCs w:val="0"/>
          <w:iCs w:val="0"/>
          <w:rtl w:val="0"/>
        </w:rPr>
        <w:t xml:space="preserve">, </w:t>
      </w:r>
      <w:r>
        <w:rPr>
          <w:b w:val="0"/>
          <w:i/>
          <w:bCs w:val="0"/>
          <w:iCs w:val="0"/>
          <w:rtl w:val="0"/>
        </w:rPr>
        <w:t xml:space="preserve">pipeline</w:t>
      </w:r>
      <w:r>
        <w:rPr>
          <w:b w:val="0"/>
          <w:i w:val="0"/>
          <w:bCs w:val="0"/>
          <w:iCs w:val="0"/>
          <w:rtl w:val="0"/>
        </w:rPr>
        <w:t xml:space="preserve"> de voz, confirmação da transcrição, auditoria, relatório, agendador e cobrança. O executor invoca 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uma vez por unidade, em ordem, com </w:t>
      </w:r>
      <w:r>
        <w:rPr>
          <w:b w:val="0"/>
          <w:i/>
          <w:bCs w:val="0"/>
          <w:iCs w:val="0"/>
          <w:rtl w:val="0"/>
        </w:rPr>
        <w:t xml:space="preserve">prompt</w:t>
      </w:r>
      <w:r>
        <w:rPr>
          <w:b w:val="0"/>
          <w:i w:val="0"/>
          <w:bCs w:val="0"/>
          <w:iCs w:val="0"/>
          <w:rtl w:val="0"/>
        </w:rPr>
        <w:t xml:space="preserve"> idêntico para os dois braços; o que o agente construiu em uma unidade é o ponto de partida da seguinte, e o autor não escreve código no espaço de trabalho. A pontuação será a fração dos testes de aceitação aprovados, escritos pelo autor antes da execução, mantidos fora do espaço de trabalho e rodados sobre uma cópia dele ao fim de cada unidade; nunca os testes do próprio agente, já que um modelo que alucina uma API escreve testes que simulam a alucinação. Uma unidade conta como concluída quando todos os seus testes passam, e a construção, quando todos passam ao fim.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Serão dois níveis de modelo, primário e de robustez, gratuitos e no mesmo </w:t>
      </w:r>
      <w:r>
        <w:rPr>
          <w:b w:val="0"/>
          <w:i/>
          <w:bCs w:val="0"/>
          <w:iCs w:val="0"/>
          <w:rtl w:val="0"/>
        </w:rPr>
        <w:t xml:space="preserve">gateway</w:t>
      </w:r>
      <w:r>
        <w:rPr>
          <w:b w:val="0"/>
          <w:i w:val="0"/>
          <w:bCs w:val="0"/>
          <w:iCs w:val="0"/>
          <w:rtl w:val="0"/>
        </w:rPr>
        <w:t xml:space="preserve"> (Opencode, 2026b), relatados em separado, já que o efeito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é específico do modelo. Se a ordenação entre os braços se inverter entre os níveis, a inversão é o resultado.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rtl w:val="0"/>
        </w:rPr>
        <w:t xml:space="preserve">O instrumento será um </w:t>
      </w:r>
      <w:r>
        <w:rPr>
          <w:b w:val="0"/>
          <w:i/>
          <w:rtl w:val="0"/>
        </w:rPr>
        <w:t xml:space="preserve">proxy</w:t>
      </w:r>
      <w:r>
        <w:rPr>
          <w:b w:val="0"/>
          <w:i w:val="0"/>
          <w:rtl w:val="0"/>
        </w:rPr>
        <w:t xml:space="preserve"> reverso entre cada braço e o </w:t>
      </w:r>
      <w:r>
        <w:rPr>
          <w:b w:val="0"/>
          <w:i/>
          <w:rtl w:val="0"/>
        </w:rPr>
        <w:t xml:space="preserve">gateway</w:t>
      </w:r>
      <w:r>
        <w:rPr>
          <w:b w:val="0"/>
          <w:i w:val="0"/>
          <w:rtl w:val="0"/>
        </w:rPr>
        <w:t xml:space="preserve">, que forçará o relatório de uso em cada requisição. Os tokens serão contados no </w:t>
      </w:r>
      <w:r>
        <w:rPr>
          <w:b w:val="0"/>
          <w:i/>
          <w:rtl w:val="0"/>
        </w:rPr>
        <w:t xml:space="preserve">proxy</w:t>
      </w:r>
      <w:r>
        <w:rPr>
          <w:b w:val="0"/>
          <w:i w:val="0"/>
          <w:rtl w:val="0"/>
        </w:rPr>
        <w:t xml:space="preserve">, sobre os bytes transmitidos, com um único tokenizador para os dois braços. O relatório do </w:t>
      </w:r>
      <w:r>
        <w:rPr>
          <w:b w:val="0"/>
          <w:i/>
          <w:rtl w:val="0"/>
        </w:rPr>
        <w:t xml:space="preserve">harness</w:t>
      </w:r>
      <w:r>
        <w:rPr>
          <w:b w:val="0"/>
          <w:i w:val="0"/>
          <w:rtl w:val="0"/>
        </w:rPr>
        <w:t xml:space="preserve"> e o do </w:t>
      </w:r>
      <w:r>
        <w:rPr>
          <w:b w:val="0"/>
          <w:i/>
          <w:rtl w:val="0"/>
        </w:rPr>
        <w:t xml:space="preserve">gateway</w:t>
      </w:r>
      <w:r>
        <w:rPr>
          <w:b w:val="0"/>
          <w:i w:val="0"/>
          <w:rtl w:val="0"/>
        </w:rPr>
        <w:t xml:space="preserve"> incluem conteúdo injetado que nenhum braço enviou, um deslocamento aditivo que não se cancela em razão e cobraria de cada braço um excedente proporcional ao número de passos. As contagens do </w:t>
      </w:r>
      <w:r>
        <w:rPr>
          <w:b w:val="0"/>
          <w:i/>
          <w:rtl w:val="0"/>
        </w:rPr>
        <w:t xml:space="preserve">gateway</w:t>
      </w:r>
      <w:r>
        <w:rPr>
          <w:b w:val="0"/>
          <w:i w:val="0"/>
          <w:rtl w:val="0"/>
        </w:rPr>
        <w:t xml:space="preserve"> ficam para verificação cruzada e cálculo de custo, e a divergência será reportada por braço.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Haverá um único limite, idêntico para os dois braços: relógio de parede por unidade, três vezes a maior mediana dos braços nas unidades-piloto. O número de passos não será limitado, porque um teto de passos é decisão de projeto de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e apagaria a diferença sob teste. O comprimento máximo de saída será forçado igual pelo </w:t>
      </w:r>
      <w:r>
        <w:rPr>
          <w:b w:val="0"/>
          <w:i/>
          <w:bCs w:val="0"/>
          <w:iCs w:val="0"/>
          <w:rtl w:val="0"/>
        </w:rPr>
        <w:t xml:space="preserve">proxy</w:t>
      </w:r>
      <w:r>
        <w:rPr>
          <w:b w:val="0"/>
          <w:i w:val="0"/>
          <w:bCs w:val="0"/>
          <w:iCs w:val="0"/>
          <w:rtl w:val="0"/>
        </w:rPr>
        <w:t xml:space="preserve">. Os parâmetros de amostragem serão registrados sem normalização, já que o </w:t>
      </w:r>
      <w:r>
        <w:rPr>
          <w:b w:val="0"/>
          <w:i/>
          <w:bCs w:val="0"/>
          <w:iCs w:val="0"/>
          <w:rtl w:val="0"/>
        </w:rPr>
        <w:t xml:space="preserve">gateway</w:t>
      </w:r>
      <w:r>
        <w:rPr>
          <w:b w:val="0"/>
          <w:i w:val="0"/>
          <w:bCs w:val="0"/>
          <w:iCs w:val="0"/>
          <w:rtl w:val="0"/>
        </w:rPr>
        <w:t xml:space="preserve"> não os honra e Miller (2024) desaconselha mexer na temperatura para reduzir variância. O isolamento de ambiente será verificado por um portão que falha fechado.</w:t>
      </w:r>
    </w:p>
    <w:p>
      <w:pPr>
        <w:spacing w:after="0" w:line="360" w:lineRule="auto"/>
        <w:ind w:firstLine="709"/>
        <w:jc w:val="both"/>
        <w:rPr/>
      </w:pPr>
      <w:r>
        <w:rPr>
          <w:rFonts w:ascii="Gungsuh" w:cs="Gungsuh" w:eastAsia="Gungsuh" w:hAnsi="Gungsuh"/>
          <w:b w:val="0"/>
          <w:i w:val="0"/>
          <w:bCs w:val="0"/>
          <w:iCs w:val="0"/>
          <w:rtl w:val="0"/>
        </w:rPr>
        <w:t xml:space="preserve">Cada célula (braço, nível) receberá n ≥ 3 construções completas após descartes, na função redutora de variância que Miller (2024) atribui à reamostragem. Os resultados sairão como mediana com dispersão, já que requisições idênticas podem variar em tokens de saída no nível gratuito. Se a cota não comportar a matriz, a cobertura será reduzida antes das repetições.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 medida principal será o total de tokens por construção, sempre ao lado da fração final de testes aprovados, para que um braço que falhe barato não pareça o mais barato. A comparação inferencial será o teste de Wilcoxon dos postos sinalizados, bilateral, α = 0,05, pareado por unidade, sobre tokens por unidade e Succ/Mtok por unidade: não paramétrico porque nove pares não sustentam suposição distribucional, pareado porque a dificuldade da unidade é o maior fator de perturbação (Miller, 2024). As unidades não são independentes, pois a seguinte parte do que o mesmo braço construiu; essa dependência é parte do custo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e será reportada por unidade. Com n = 3 e 9 unidades, a diferença mínima detectável é de cerca de 0,76σ. Para H2, os tokens de cada unidade serão decompostos em carga fixa (Camada 1 multiplicada pelo número de passos) e conversa, com a parcela de cada uma reportada por unidade e por construção. As predições serão pré-registradas por nível, e um resultado nulo para H2 será reportado.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Cada unidade de cada construção receberá uma classe. Unidade não concluída é resultado: entra com a fração de testes aprovada e a construção segue, estouro de relógio incluído, já que repetir converteria indisponibilidade do serviço em diferença entre </w:t>
      </w:r>
      <w:r>
        <w:rPr>
          <w:b w:val="0"/>
          <w:i/>
          <w:bCs w:val="0"/>
          <w:iCs w:val="0"/>
          <w:rtl w:val="0"/>
        </w:rPr>
        <w:t xml:space="preserve">harnesses</w:t>
      </w:r>
      <w:r>
        <w:rPr>
          <w:b w:val="0"/>
          <w:i w:val="0"/>
          <w:bCs w:val="0"/>
          <w:iCs w:val="0"/>
          <w:rtl w:val="0"/>
        </w:rPr>
        <w:t xml:space="preserve">. Medição inconfiável descarta a construção inteira, registrada, sem reparo nem repetição. A classe vem do registro do </w:t>
      </w:r>
      <w:r>
        <w:rPr>
          <w:b w:val="0"/>
          <w:i/>
          <w:bCs w:val="0"/>
          <w:iCs w:val="0"/>
          <w:rtl w:val="0"/>
        </w:rPr>
        <w:t xml:space="preserve">proxy</w:t>
      </w:r>
      <w:r>
        <w:rPr>
          <w:b w:val="0"/>
          <w:i w:val="0"/>
          <w:bCs w:val="0"/>
          <w:iCs w:val="0"/>
          <w:rtl w:val="0"/>
        </w:rPr>
        <w:t xml:space="preserve">, porque o código de saída não discrimina o desfecho.</w:t>
      </w:r>
    </w:p>
    <w:p w:rsidR="00000000" w:rsidDel="00000000" w:rsidP="00000000" w:rsidRDefault="00000000" w:rsidRPr="00000000" w14:paraId="00000056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Limitações e ameaças à validade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Quatro limitações de partida. O efeito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é específico do modelo e pode inverter de sinal; as conclusões valem por nível, e o objetivo (5) testa isso. O produto é um único SaaS sobre uma única pilha; outras pilhas ficam como trabalho futuro. A especificação é do autor e cada braço carrega os próprios erros de uma unidade à seguinte; a mitigação é a mesma entrada, o mesmo espaço vazio e a comparação pareada por unidade. Os valores absolutos não são comparáveis a placares públicos, já que o produto é próprio; a comparação válida é entre os braços, e o custo em dinheiro entra como contrafactual rotulado sobre tarifas pagas publicadas.</w:t>
      </w:r>
    </w:p>
    <w:p w:rsidR="00000000" w:rsidDel="00000000" w:rsidP="00000000" w:rsidRDefault="00000000" w:rsidRPr="00000000" w14:paraId="00000058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4 ORÇAMENTO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1"/>
        <w:spacing w:after="40" w:before="120" w:lin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Tabela 1 – Orçamento do projeto</w:t>
      </w:r>
      <w:r w:rsidDel="00000000" w:rsidR="00000000" w:rsidRPr="00000000">
        <w:rPr>
          <w:rtl w:val="0"/>
        </w:rPr>
      </w:r>
    </w:p>
    <w:tbl>
      <w:tblPr>
        <w:tblStyle w:val="Table1"/>
        <w:tblW w:w="9071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520"/>
        <w:gridCol w:w="2551"/>
        <w:tblGridChange w:id="0">
          <w:tblGrid>
            <w:gridCol w:w="6520"/>
            <w:gridCol w:w="255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A">
            <w:pPr>
              <w:spacing w:after="20" w:before="20" w:lineRule="auto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Item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Custo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C">
            <w:pPr>
              <w:spacing w:after="20" w:before="20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Inferência dos modelos (dois níveis, nível gratuito do gateway)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R$ 0,00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E">
            <w:pPr>
              <w:spacing w:after="20" w:before="20" w:lineRule="auto"/>
              <w:rPr/>
            </w:pPr>
            <w:r w:rsidDel="00000000" w:rsidR="00000000" w:rsidRPr="00000000">
              <w:rPr>
                <w:b w:val="0"/>
                <w:bCs w:val="0"/>
                <w:i w:val="1"/>
                <w:iCs w:val="1"/>
                <w:sz w:val="22"/>
                <w:szCs w:val="22"/>
                <w:rtl w:val="0"/>
              </w:rPr>
              <w:t xml:space="preserve">Harnesses</w:t>
            </w:r>
            <w:r w:rsidDel="00000000" w:rsidR="00000000" w:rsidRPr="00000000">
              <w:rPr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 e ferramentas (OpenCode e pi, código aberto; Node.js e PostgreSQL)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R$ 0,00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0">
            <w:pPr>
              <w:spacing w:after="20" w:before="20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Máquinas (estação pessoal NixOS e estação pessoal Windows)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R$ 0,00 (já disponíveis)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spacing w:after="20" w:before="20" w:lineRule="auto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R$ 0,00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4">
      <w:pPr>
        <w:spacing w:after="120" w:before="40" w:lin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Fonte: elaborado pelo autor (2026).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O total em dinheiro é zero. O limite real é a cota do nível gratuito do </w:t>
      </w:r>
      <w:r>
        <w:rPr>
          <w:b w:val="0"/>
          <w:i/>
          <w:bCs w:val="0"/>
          <w:iCs w:val="0"/>
          <w:rtl w:val="0"/>
        </w:rPr>
        <w:t xml:space="preserve">gateway</w:t>
      </w:r>
      <w:r>
        <w:rPr>
          <w:b w:val="0"/>
          <w:i w:val="0"/>
          <w:bCs w:val="0"/>
          <w:iCs w:val="0"/>
          <w:rtl w:val="0"/>
        </w:rPr>
        <w:t xml:space="preserve">, a ser medida nas unidades-piloto; cada construção rodará em lotes ao longo de dias, retomada na fronteira entre unidades, e o custo monetário aparecerá só como contrafactual sobre tarifas pagas publicadas.</w:t>
      </w:r>
    </w:p>
    <w:p w:rsidR="00000000" w:rsidDel="00000000" w:rsidP="00000000" w:rsidRDefault="00000000" w:rsidRPr="00000000" w14:paraId="00000066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5 CRONOGRAMA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 cota gratuita é o limite vinculante, então a cadência é de um lote da matriz por dia. A folga fica na execução da matriz e na escrita da especificação e dos testes. Os meses vão de agosto de 2026 a janeiro de 2027; a escrita do projeto foi concluída em setembro de 2026, mês de entrega, e os experimentos começam em outubro.</w:t>
      </w:r>
    </w:p>
    <w:p w:rsidR="00000000" w:rsidDel="00000000" w:rsidP="00000000" w:rsidRDefault="00000000" w:rsidRPr="00000000" w14:paraId="00000068">
      <w:pPr>
        <w:keepNext w:val="1"/>
        <w:spacing w:after="40" w:before="120" w:lin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Tabela 2 – Cronograma de execução</w:t>
      </w:r>
      <w:r w:rsidDel="00000000" w:rsidR="00000000" w:rsidRPr="00000000">
        <w:rPr>
          <w:rtl w:val="0"/>
        </w:rPr>
      </w:r>
    </w:p>
    <w:tbl>
      <w:tblPr>
        <w:tblStyle w:val="Table2"/>
        <w:tblW w:w="10021.000000000002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09"/>
        <w:gridCol w:w="952"/>
        <w:gridCol w:w="952"/>
        <w:gridCol w:w="952"/>
        <w:gridCol w:w="952"/>
        <w:gridCol w:w="952"/>
        <w:gridCol w:w="952"/>
        <w:tblGridChange w:id="0">
          <w:tblGrid>
            <w:gridCol w:w="4309"/>
            <w:gridCol w:w="952"/>
            <w:gridCol w:w="952"/>
            <w:gridCol w:w="952"/>
            <w:gridCol w:w="952"/>
            <w:gridCol w:w="952"/>
            <w:gridCol w:w="95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9">
            <w:pPr>
              <w:spacing w:after="20" w:before="2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FASES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AGOSTO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SETEMBRO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OUTUBRO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NOVEMBRO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DEZEMBRO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JANEIRO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LEITURA E LEVANTAMENTO BIBLIOGRÁFICO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7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DEFINIÇÃO DO TEMA, DO PROBLEMA E DAS HIPÓTESES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8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E">
            <w:pPr>
              <w:spacing w:after="20" w:before="20" w:lineRule="auto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8"/>
                <w:szCs w:val="18"/>
                <w:rtl w:val="0"/>
              </w:rPr>
              <w:t xml:space="preserve">CONSTRUÇÃO DO INSTRUMENTO, DA ESPECIFICAÇÃO E DOS TESTES DE ACEITAÇÃO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0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1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2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3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4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5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ESCREVENDO INTRODUÇÃO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6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87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88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A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B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C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ESCREVENDO REFERENCIAL TEÓRICO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8E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8F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0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1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3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ESCREVENDO MATERIAL E MÉTODO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4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95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96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7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8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9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A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EXECUÇÃO DA MATRIZ DE EXPERIMENTOS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D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0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1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ANÁLISE DOS RESULTADOS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2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5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6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7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ELABORANDO AS REFERÊNCIAS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9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AA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AB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C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D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E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F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REVISÃO FINAL E PREPARAÇÃO DA APRESENTAÇÃO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0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1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2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3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4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5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6">
      <w:pPr>
        <w:spacing w:after="120" w:before="40" w:lin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Fonte: elaborado pelo autor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6 REFERÊNCIAS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240" w:line="240" w:lineRule="auto"/>
        <w:rPr/>
      </w:pPr>
      <w:r w:rsidDel="00000000" w:rsidR="00000000" w:rsidRPr="00000000">
        <w:rPr>
          <w:rtl w:val="0"/>
        </w:rPr>
        <w:t xml:space="preserve">ALIER FORMENT, Marc; CASAÑ GUERRERO, María José; GARCÍA-PEÑALVO, Francisco José; PEREIRA, Juanan. </w:t>
      </w:r>
      <w:r w:rsidDel="00000000" w:rsidR="00000000" w:rsidRPr="00000000">
        <w:rPr>
          <w:b w:val="1"/>
          <w:bCs w:val="1"/>
          <w:rtl w:val="0"/>
        </w:rPr>
        <w:t xml:space="preserve">The scaffolding matters more than the interface</w:t>
      </w:r>
      <w:r w:rsidDel="00000000" w:rsidR="00000000" w:rsidRPr="00000000">
        <w:rPr>
          <w:rtl w:val="0"/>
        </w:rPr>
        <w:t xml:space="preserve">: a controlled comparison of MCP and CLI tool use across seven agent scaffoldings, five language models, and one software task. arXiv:2608.08654, 2026. </w:t>
      </w:r>
      <w:r w:rsidDel="00000000" w:rsidR="00000000" w:rsidRPr="00000000">
        <w:rPr>
          <w:i w:val="1"/>
          <w:iCs w:val="1"/>
          <w:rtl w:val="0"/>
        </w:rPr>
        <w:t xml:space="preserve">Preprint</w:t>
      </w:r>
      <w:r w:rsidDel="00000000" w:rsidR="00000000" w:rsidRPr="00000000">
        <w:rPr>
          <w:rtl w:val="0"/>
        </w:rPr>
        <w:t xml:space="preserve">, não revisado por pares. Disponível em: https://arxiv.org/abs/2608.08654. Acesso em: 9 set. 2026.</w:t>
      </w:r>
    </w:p>
    <w:p w:rsidR="00000000" w:rsidDel="00000000" w:rsidP="00000000" w:rsidRDefault="00000000" w:rsidRPr="00000000" w14:paraId="000000B9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BRASIL. Conselho Nacional de Desenvolvimento Científico e Tecnológico.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Portaria CNPq nº 2.664, de 6 de março de 2026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. Institui a Política de Integridade na Atividade Científica do CNPq. Diário Oficial da União: seção 1, Brasília, DF, p. 4, 11 mar. 2026. Disponível em: http://memoria2.cnpq.br/web/guest/view/-/journal_content/56_INSTANCE_0oED/10157/23142775. Acesso em: 11 set.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240" w:line="240" w:lineRule="auto"/>
        <w:rPr/>
      </w:pPr>
      <w:r w:rsidDel="00000000" w:rsidR="00000000" w:rsidRPr="00000000">
        <w:rPr>
          <w:rtl w:val="0"/>
        </w:rPr>
        <w:t xml:space="preserve">EARENDIL. </w:t>
      </w:r>
      <w:r w:rsidDel="00000000" w:rsidR="00000000" w:rsidRPr="00000000">
        <w:rPr>
          <w:b w:val="1"/>
          <w:bCs w:val="1"/>
          <w:rtl w:val="0"/>
        </w:rPr>
        <w:t xml:space="preserve">Pi, minimal and performant</w:t>
      </w:r>
      <w:r w:rsidDel="00000000" w:rsidR="00000000" w:rsidRPr="00000000">
        <w:rPr>
          <w:rtl w:val="0"/>
        </w:rPr>
        <w:t xml:space="preserve">. 2026. Publicação de blogue institucional. Disponível em: https://earendil.com/posts/pi-autoresearch-and-databricks/. Acesso em: 28 ago. 2026.</w:t>
      </w:r>
    </w:p>
    <w:p w:rsidR="00000000" w:rsidDel="00000000" w:rsidP="00000000" w:rsidRDefault="00000000" w:rsidRPr="00000000" w14:paraId="000000BB">
      <w:pPr>
        <w:spacing w:after="240" w:line="240" w:lineRule="auto"/>
        <w:rPr/>
      </w:pPr>
      <w:r w:rsidDel="00000000" w:rsidR="00000000" w:rsidRPr="00000000">
        <w:rPr>
          <w:rtl w:val="0"/>
        </w:rPr>
        <w:t xml:space="preserve">HARNESSRANK. </w:t>
      </w:r>
      <w:r w:rsidDel="00000000" w:rsidR="00000000" w:rsidRPr="00000000">
        <w:rPr>
          <w:b w:val="1"/>
          <w:bCs w:val="1"/>
          <w:rtl w:val="0"/>
        </w:rPr>
        <w:t xml:space="preserve">HarnessRank</w:t>
      </w:r>
      <w:r w:rsidDel="00000000" w:rsidR="00000000" w:rsidRPr="00000000">
        <w:rPr>
          <w:rtl w:val="0"/>
        </w:rPr>
        <w:t xml:space="preserve">: coding-agent harness rankings. 2026. Disponível em: https://harnessrank.net/. Acesso em: 28 ago. 2026.</w:t>
      </w:r>
    </w:p>
    <w:p w:rsidR="00000000" w:rsidDel="00000000" w:rsidP="00000000" w:rsidRDefault="00000000" w:rsidRPr="00000000" w14:paraId="000000BC">
      <w:pPr>
        <w:spacing w:after="240" w:line="240" w:lineRule="auto"/>
        <w:rPr/>
      </w:pPr>
      <w:r w:rsidDel="00000000" w:rsidR="00000000" w:rsidRPr="00000000">
        <w:rPr>
          <w:rtl w:val="0"/>
        </w:rPr>
        <w:t xml:space="preserve">KAPOOR, Sayash; STROEBL, Benedikt; SIEGEL, Zachary S.; NADGIR, Nitya; NARAYANAN, Arvind. </w:t>
      </w:r>
      <w:r w:rsidDel="00000000" w:rsidR="00000000" w:rsidRPr="00000000">
        <w:rPr>
          <w:b w:val="1"/>
          <w:bCs w:val="1"/>
          <w:rtl w:val="0"/>
        </w:rPr>
        <w:t xml:space="preserve">AI agents that matter</w:t>
      </w:r>
      <w:r w:rsidDel="00000000" w:rsidR="00000000" w:rsidRPr="00000000">
        <w:rPr>
          <w:rtl w:val="0"/>
        </w:rPr>
        <w:t xml:space="preserve">. arXiv:2407.01502, 2024. </w:t>
      </w:r>
      <w:r w:rsidDel="00000000" w:rsidR="00000000" w:rsidRPr="00000000">
        <w:rPr>
          <w:i w:val="1"/>
          <w:iCs w:val="1"/>
          <w:rtl w:val="0"/>
        </w:rPr>
        <w:t xml:space="preserve">Preprint</w:t>
      </w:r>
      <w:r w:rsidDel="00000000" w:rsidR="00000000" w:rsidRPr="00000000">
        <w:rPr>
          <w:rtl w:val="0"/>
        </w:rPr>
        <w:t xml:space="preserve">, não revisado por pares. Disponível em: https://arxiv.org/abs/2407.01502. Acesso em: 28 ago. 2026.</w:t>
      </w:r>
    </w:p>
    <w:p w:rsidR="00000000" w:rsidDel="00000000" w:rsidP="00000000" w:rsidRDefault="00000000" w:rsidRPr="00000000" w14:paraId="000000BD">
      <w:pPr>
        <w:spacing w:after="240" w:line="240" w:lineRule="auto"/>
        <w:rPr/>
      </w:pPr>
      <w:r w:rsidDel="00000000" w:rsidR="00000000" w:rsidRPr="00000000">
        <w:rPr>
          <w:rtl w:val="0"/>
        </w:rPr>
        <w:t xml:space="preserve">KAPOOR, Sayash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Holistic Agent Leaderboard</w:t>
      </w:r>
      <w:r w:rsidDel="00000000" w:rsidR="00000000" w:rsidRPr="00000000">
        <w:rPr>
          <w:rtl w:val="0"/>
        </w:rPr>
        <w:t xml:space="preserve">: the missing infrastructure for AI agent evaluation. arXiv:2510.11977, 2025. </w:t>
      </w:r>
      <w:r w:rsidDel="00000000" w:rsidR="00000000" w:rsidRPr="00000000">
        <w:rPr>
          <w:i w:val="1"/>
          <w:iCs w:val="1"/>
          <w:rtl w:val="0"/>
        </w:rPr>
        <w:t xml:space="preserve">Preprint</w:t>
      </w:r>
      <w:r w:rsidDel="00000000" w:rsidR="00000000" w:rsidRPr="00000000">
        <w:rPr>
          <w:rtl w:val="0"/>
        </w:rPr>
        <w:t xml:space="preserve">, não revisado por pares. Disponível em: https://arxiv.org/abs/2510.11977. Acesso em: 28 ago. 2026.</w:t>
      </w:r>
    </w:p>
    <w:p w:rsidR="00000000" w:rsidDel="00000000" w:rsidP="00000000" w:rsidRDefault="00000000" w:rsidRPr="00000000" w14:paraId="000000BE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KARPATHY, Andrej. LLM Wiki: a pattern for building personal knowledge bases using LLMs. 2026. Gist (GitHub). Disponível em: https://gist.github.com/karpathy/442a6bf555914893e9891c11519de94f. Acesso em: 14 set.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240" w:line="240" w:lineRule="auto"/>
        <w:rPr/>
      </w:pPr>
      <w:r w:rsidDel="00000000" w:rsidR="00000000" w:rsidRPr="00000000">
        <w:rPr>
          <w:rtl w:val="0"/>
        </w:rPr>
        <w:t xml:space="preserve">LEE, Yoonho; NAIR, Roshen; ZHANG, Qizheng; LEE, Kangwook; KHATTAB, Omar; FINN, Chelsea. </w:t>
      </w:r>
      <w:r w:rsidDel="00000000" w:rsidR="00000000" w:rsidRPr="00000000">
        <w:rPr>
          <w:b w:val="1"/>
          <w:bCs w:val="1"/>
          <w:rtl w:val="0"/>
        </w:rPr>
        <w:t xml:space="preserve">Meta-Harness</w:t>
      </w:r>
      <w:r w:rsidDel="00000000" w:rsidR="00000000" w:rsidRPr="00000000">
        <w:rPr>
          <w:rtl w:val="0"/>
        </w:rPr>
        <w:t xml:space="preserve">: end-to-end optimization of model harnesses. arXiv:2603.28052, 2026. </w:t>
      </w:r>
      <w:r w:rsidDel="00000000" w:rsidR="00000000" w:rsidRPr="00000000">
        <w:rPr>
          <w:i w:val="1"/>
          <w:iCs w:val="1"/>
          <w:rtl w:val="0"/>
        </w:rPr>
        <w:t xml:space="preserve">Preprint</w:t>
      </w:r>
      <w:r w:rsidDel="00000000" w:rsidR="00000000" w:rsidRPr="00000000">
        <w:rPr>
          <w:rtl w:val="0"/>
        </w:rPr>
        <w:t xml:space="preserve">, não revisado por pares. Disponível em: https://arxiv.org/abs/2603.28052. Acesso em: 9 set. 2026.</w:t>
      </w:r>
    </w:p>
    <w:p w:rsidR="00000000" w:rsidDel="00000000" w:rsidP="00000000" w:rsidRDefault="00000000" w:rsidRPr="00000000" w14:paraId="000000C0">
      <w:pPr>
        <w:spacing w:after="240" w:line="240" w:lineRule="auto"/>
        <w:rPr/>
      </w:pPr>
      <w:r w:rsidDel="00000000" w:rsidR="00000000" w:rsidRPr="00000000">
        <w:rPr>
          <w:rtl w:val="0"/>
        </w:rPr>
        <w:t xml:space="preserve">LIN, Jiahang; LIU, Shichun; PAN, Chengjun; LIN, Lizhi; DOU, Shihan; XI, Zhiheng; HUANG, Xuanjing; YAN, Hang; HAN, Zhenhua; GUI, Tao; JIANG, Yu-Gang. </w:t>
      </w:r>
      <w:r w:rsidDel="00000000" w:rsidR="00000000" w:rsidRPr="00000000">
        <w:rPr>
          <w:b w:val="1"/>
          <w:bCs w:val="1"/>
          <w:rtl w:val="0"/>
        </w:rPr>
        <w:t xml:space="preserve">Agentic harness engineering</w:t>
      </w:r>
      <w:r w:rsidDel="00000000" w:rsidR="00000000" w:rsidRPr="00000000">
        <w:rPr>
          <w:rtl w:val="0"/>
        </w:rPr>
        <w:t xml:space="preserve">: observability-driven automatic evolution of coding-agent harnesses. arXiv:2604.25850, 2026. </w:t>
      </w:r>
      <w:r w:rsidDel="00000000" w:rsidR="00000000" w:rsidRPr="00000000">
        <w:rPr>
          <w:i w:val="1"/>
          <w:iCs w:val="1"/>
          <w:rtl w:val="0"/>
        </w:rPr>
        <w:t xml:space="preserve">Preprint</w:t>
      </w:r>
      <w:r w:rsidDel="00000000" w:rsidR="00000000" w:rsidRPr="00000000">
        <w:rPr>
          <w:rtl w:val="0"/>
        </w:rPr>
        <w:t xml:space="preserve">, não revisado por pares. Disponível em: https://arxiv.org/abs/2604.25850. Acesso em: 28 ago. 2026.</w:t>
      </w:r>
    </w:p>
    <w:p w:rsidR="00000000" w:rsidDel="00000000" w:rsidP="00000000" w:rsidRDefault="00000000" w:rsidRPr="00000000" w14:paraId="000000C1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MILLER, Evan.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Adding error bars to evals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: a statistical approach to language model evaluations. arXiv:2411.00640, 2024.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Preprint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, não revisado por pares. Disponível em: https://arxiv.org/abs/2411.00640. Acesso em: 28 ago.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240" w:line="240" w:lineRule="auto"/>
        <w:rPr/>
      </w:pPr>
      <w:r w:rsidDel="00000000" w:rsidR="00000000" w:rsidRPr="00000000">
        <w:rPr>
          <w:rtl w:val="0"/>
        </w:rPr>
        <w:t xml:space="preserve">NING, Xuying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Code as agent harness</w:t>
      </w:r>
      <w:r w:rsidDel="00000000" w:rsidR="00000000" w:rsidRPr="00000000">
        <w:rPr>
          <w:rtl w:val="0"/>
        </w:rPr>
        <w:t xml:space="preserve">. arXiv:2605.18747, 2026. </w:t>
      </w:r>
      <w:r w:rsidDel="00000000" w:rsidR="00000000" w:rsidRPr="00000000">
        <w:rPr>
          <w:i w:val="1"/>
          <w:iCs w:val="1"/>
          <w:rtl w:val="0"/>
        </w:rPr>
        <w:t xml:space="preserve">Preprint</w:t>
      </w:r>
      <w:r w:rsidDel="00000000" w:rsidR="00000000" w:rsidRPr="00000000">
        <w:rPr>
          <w:rtl w:val="0"/>
        </w:rPr>
        <w:t xml:space="preserve">, não revisado por pares. Disponível em: https://arxiv.org/abs/2605.18747. Acesso em: 28 ago. 2026.</w:t>
      </w:r>
    </w:p>
    <w:p w:rsidR="00000000" w:rsidDel="00000000" w:rsidP="00000000" w:rsidRDefault="00000000" w:rsidRPr="00000000" w14:paraId="000000C3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OPENCODE. OpenCode: the open source coding agent. 2026a. Repositório de código. Disponível em: https://github.com/anomalyco/opencode. Acesso em: 14 set.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OPENCODE. Zen. 2026b. Documentação do produto. Disponível em: https://opencode.ai/docs/zen/. Acesso em: 28 ago.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240" w:line="240" w:lineRule="auto"/>
        <w:rPr/>
      </w:pPr>
      <w:r w:rsidDel="00000000" w:rsidR="00000000" w:rsidRPr="00000000">
        <w:rPr>
          <w:rtl w:val="0"/>
        </w:rPr>
        <w:t xml:space="preserve">RUNTA. </w:t>
      </w:r>
      <w:r w:rsidDel="00000000" w:rsidR="00000000" w:rsidRPr="00000000">
        <w:rPr>
          <w:b w:val="1"/>
          <w:bCs w:val="1"/>
          <w:rtl w:val="0"/>
        </w:rPr>
        <w:t xml:space="preserve">Introducing the FrontierHarness eval</w:t>
      </w:r>
      <w:r w:rsidDel="00000000" w:rsidR="00000000" w:rsidRPr="00000000">
        <w:rPr>
          <w:rtl w:val="0"/>
        </w:rPr>
        <w:t xml:space="preserve">. 2026. Publicação de blogue institucional. Disponível em: https://runta.com/blog/introducing-frontierharness-eval/. Acesso em: 9 set. 2026.</w:t>
      </w:r>
    </w:p>
    <w:p w:rsidR="00000000" w:rsidDel="00000000" w:rsidP="00000000" w:rsidRDefault="00000000" w:rsidRPr="00000000" w14:paraId="000000C6">
      <w:pPr>
        <w:spacing w:after="240" w:line="240" w:lineRule="auto"/>
        <w:rPr/>
      </w:pPr>
      <w:r w:rsidDel="00000000" w:rsidR="00000000" w:rsidRPr="00000000">
        <w:rPr>
          <w:rtl w:val="0"/>
        </w:rPr>
        <w:t xml:space="preserve">WANG, Ruhan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Harness Handbook</w:t>
      </w:r>
      <w:r w:rsidDel="00000000" w:rsidR="00000000" w:rsidRPr="00000000">
        <w:rPr>
          <w:rtl w:val="0"/>
        </w:rPr>
        <w:t xml:space="preserve">: making evolving agent harnesses readable, navigable, and editable. arXiv:2607.13285, 2026. </w:t>
      </w:r>
      <w:r w:rsidDel="00000000" w:rsidR="00000000" w:rsidRPr="00000000">
        <w:rPr>
          <w:i w:val="1"/>
          <w:iCs w:val="1"/>
          <w:rtl w:val="0"/>
        </w:rPr>
        <w:t xml:space="preserve">Preprint</w:t>
      </w:r>
      <w:r w:rsidDel="00000000" w:rsidR="00000000" w:rsidRPr="00000000">
        <w:rPr>
          <w:rtl w:val="0"/>
        </w:rPr>
        <w:t xml:space="preserve">, não revisado por pares. Disponível em: https://arxiv.org/abs/2607.13285. Acesso em: 9 set. 2026.</w:t>
      </w:r>
    </w:p>
    <w:p w:rsidR="00000000" w:rsidDel="00000000" w:rsidP="00000000" w:rsidRDefault="00000000" w:rsidRPr="00000000" w14:paraId="000000C7">
      <w:pPr>
        <w:spacing w:after="240" w:line="240" w:lineRule="auto"/>
        <w:rPr/>
      </w:pPr>
      <w:r w:rsidDel="00000000" w:rsidR="00000000" w:rsidRPr="00000000">
        <w:rPr>
          <w:rtl w:val="0"/>
        </w:rPr>
        <w:t xml:space="preserve">YANG, John; JIMENEZ, Carlos E.; WETTIG, Alexander; LIERET, Kilian; YAO, Shunyu; NARASIMHAN, Karthik; PRESS, Ofir. </w:t>
      </w:r>
      <w:r w:rsidDel="00000000" w:rsidR="00000000" w:rsidRPr="00000000">
        <w:rPr>
          <w:b w:val="1"/>
          <w:bCs w:val="1"/>
          <w:rtl w:val="0"/>
        </w:rPr>
        <w:t xml:space="preserve">SWE-agent</w:t>
      </w:r>
      <w:r w:rsidDel="00000000" w:rsidR="00000000" w:rsidRPr="00000000">
        <w:rPr>
          <w:rtl w:val="0"/>
        </w:rPr>
        <w:t xml:space="preserve">: agent-computer interfaces enable automated software engineering. arXiv:2405.15793, 2024. Trabalho apresentado na Conference on Neural Information Processing Systems (NeurIPS), 2024. Disponível em: https://arxiv.org/abs/2405.15793. Acesso em: 28 ago. 2026.</w:t>
      </w:r>
    </w:p>
    <w:p w:rsidR="00000000" w:rsidDel="00000000" w:rsidP="00000000" w:rsidRDefault="00000000" w:rsidRPr="00000000" w14:paraId="000000C8">
      <w:pPr>
        <w:spacing w:after="240" w:line="240" w:lineRule="auto"/>
        <w:rPr/>
      </w:pPr>
      <w:r w:rsidDel="00000000" w:rsidR="00000000" w:rsidRPr="00000000">
        <w:rPr>
          <w:rtl w:val="0"/>
        </w:rPr>
        <w:t xml:space="preserve">YAO, Shunyu; ZHAO, Jeffrey; YU, Dian; DU, Nan; SHAFRAN, Izhak; NARASIMHAN, Karthik; CAO, Yuan. </w:t>
      </w:r>
      <w:r w:rsidDel="00000000" w:rsidR="00000000" w:rsidRPr="00000000">
        <w:rPr>
          <w:b w:val="1"/>
          <w:bCs w:val="1"/>
          <w:rtl w:val="0"/>
        </w:rPr>
        <w:t xml:space="preserve">ReAct</w:t>
      </w:r>
      <w:r w:rsidDel="00000000" w:rsidR="00000000" w:rsidRPr="00000000">
        <w:rPr>
          <w:rtl w:val="0"/>
        </w:rPr>
        <w:t xml:space="preserve">: synergizing reasoning and acting in language models. arXiv:2210.03629, 2022. Trabalho apresentado na International Conference on Learning Representations (ICLR), 2023. Disponível em: https://arxiv.org/abs/2210.03629. Acesso em: 28 ago. 2026.</w:t>
      </w:r>
    </w:p>
    <w:p w:rsidR="00000000" w:rsidDel="00000000" w:rsidP="00000000" w:rsidRDefault="00000000" w:rsidRPr="00000000" w14:paraId="000000C9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YUUKIFST. agent-dotfiles: skill Helmsman, mapa de decisões para agentes de codificação. 2026a. Repositório de código. Disponível em: https://github.com/YuukiFST/agent-dotfiles/tree/main/skills/helmsman. Acesso em: 15 set.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YUUKIFST. Finn: SaaS universal de financeiro por voz. 2026b. Repositório de código. Disponível em: https://github.com/YuukiFST/Finn. Acesso em: 14 set.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YUUKIFST. harness-bench: executor, prompts, testes de aceitação, dados brutos e scripts de análise deste projeto. 2026c. Repositório de código. Disponível em: https://github.com/YuukiFST/harness-bench. Acesso em: 28 ago.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240" w:line="240" w:lineRule="auto"/>
        <w:rPr/>
      </w:pPr>
      <w:r w:rsidDel="00000000" w:rsidR="00000000" w:rsidRPr="00000000">
        <w:rPr>
          <w:rtl w:val="0"/>
        </w:rPr>
        <w:t xml:space="preserve">ZHANG, Yunbei; WANG, Janet; GE, Yingqiang; XU, Weijie; HAMM, Jihun; REDDY, Chandan K. </w:t>
      </w:r>
      <w:r w:rsidDel="00000000" w:rsidR="00000000" w:rsidRPr="00000000">
        <w:rPr>
          <w:b w:val="1"/>
          <w:bCs w:val="1"/>
          <w:rtl w:val="0"/>
        </w:rPr>
        <w:t xml:space="preserve">Stop comparing LLM agents without disclosing the harness</w:t>
      </w:r>
      <w:r w:rsidDel="00000000" w:rsidR="00000000" w:rsidRPr="00000000">
        <w:rPr>
          <w:rtl w:val="0"/>
        </w:rPr>
        <w:t xml:space="preserve">. arXiv:2605.23950, 2026. </w:t>
      </w:r>
      <w:r w:rsidDel="00000000" w:rsidR="00000000" w:rsidRPr="00000000">
        <w:rPr>
          <w:i w:val="1"/>
          <w:iCs w:val="1"/>
          <w:rtl w:val="0"/>
        </w:rPr>
        <w:t xml:space="preserve">Preprint</w:t>
      </w:r>
      <w:r w:rsidDel="00000000" w:rsidR="00000000" w:rsidRPr="00000000">
        <w:rPr>
          <w:rtl w:val="0"/>
        </w:rPr>
        <w:t xml:space="preserve">, não revisado por pares. Disponível em: https://arxiv.org/abs/2605.23950. Acesso em: 28 ago. 2026.</w:t>
      </w:r>
    </w:p>
    <w:sectPr>
      <w:headerReference r:id="rId6" w:type="default"/>
      <w:type w:val="nextPage"/>
      <w:pgSz w:h="16838" w:w="11906" w:orient="portrait"/>
      <w:pgMar w:bottom="1134" w:top="1701" w:left="1701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ungsuh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