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360" w:line="360" w:lineRule="auto"/>
        <w:ind w:left="0" w:firstLine="0"/>
        <w:jc w:val="center"/>
      </w:pPr>
      <w:r>
        <w:rPr>
          <w:b/>
          <w:bCs/>
          <w:sz w:val="28"/>
          <w:szCs w:val="28"/>
        </w:rPr>
        <w:t xml:space="preserve">O </w:t>
      </w:r>
      <w:r>
        <w:rPr>
          <w:b/>
          <w:bCs/>
          <w:i/>
          <w:iCs/>
          <w:sz w:val="28"/>
          <w:szCs w:val="28"/>
        </w:rPr>
        <w:t xml:space="preserve">HARNESS</w:t>
      </w:r>
      <w:r>
        <w:rPr>
          <w:b/>
          <w:bCs/>
          <w:sz w:val="28"/>
          <w:szCs w:val="28"/>
        </w:rPr>
        <w:t xml:space="preserve"> NO CUSTO E NO DESEMPENHO DE AGENTES DE CODIFICAÇÃO: tokens e taxa de sucesso com o mesmo modelo</w:t>
      </w:r>
    </w:p>
    <w:p>
      <w:pPr>
        <w:spacing w:before="0" w:after="0" w:line="360" w:lineRule="auto"/>
        <w:ind w:left="0" w:firstLine="0"/>
        <w:jc w:val="center"/>
      </w:pPr>
      <w:r>
        <w:rPr>
          <w:sz w:val="24"/>
          <w:szCs w:val="24"/>
        </w:rPr>
        <w:t xml:space="preserve">Fausto Yuuki T.A Freire</w:t>
      </w:r>
      <w:r>
        <w:rPr>
          <w:vertAlign w:val="superscript"/>
        </w:rPr>
        <w:footnoteReference w:id="1"/>
      </w:r>
    </w:p>
    <w:p>
      <w:pPr>
        <w:spacing w:before="0" w:after="0" w:line="360" w:lineRule="auto"/>
        <w:ind w:left="0" w:firstLine="0"/>
        <w:jc w:val="center"/>
      </w:pPr>
      <w:r>
        <w:rPr>
          <w:sz w:val="24"/>
          <w:szCs w:val="24"/>
        </w:rPr>
        <w:t xml:space="preserve">Inara Silva</w:t>
      </w:r>
      <w:r>
        <w:rPr>
          <w:vertAlign w:val="superscript"/>
        </w:rPr>
        <w:footnoteReference w:id="2"/>
      </w:r>
    </w:p>
    <w:p>
      <w:pPr>
        <w:spacing w:before="0" w:after="0" w:line="360" w:lineRule="auto"/>
        <w:ind w:left="0" w:firstLine="0"/>
        <w:jc w:val="both"/>
      </w:pPr>
    </w:p>
    <w:p>
      <w:pPr>
        <w:spacing w:before="0" w:after="120" w:line="240" w:lineRule="auto"/>
        <w:ind w:left="0" w:firstLine="0"/>
        <w:jc w:val="both"/>
      </w:pPr>
      <w:r>
        <w:rPr>
          <w:b/>
          <w:bCs/>
          <w:sz w:val="20"/>
          <w:szCs w:val="20"/>
        </w:rPr>
        <w:t xml:space="preserve">Resumo:</w:t>
      </w:r>
      <w:r>
        <w:rPr>
          <w:sz w:val="20"/>
          <w:szCs w:val="20"/>
        </w:rPr>
        <w:t xml:space="preserve"> Um agente de codificação tem duas partes: o modelo de linguagem e o </w:t>
      </w:r>
      <w:r>
        <w:rPr>
          <w:i/>
          <w:iCs/>
          <w:sz w:val="20"/>
          <w:szCs w:val="20"/>
        </w:rPr>
        <w:t xml:space="preserve">harness</w:t>
      </w:r>
      <w:r>
        <w:rPr>
          <w:sz w:val="20"/>
          <w:szCs w:val="20"/>
        </w:rPr>
        <w:t xml:space="preserve">, o software que monta o contexto, expõe as ferramentas e conduz a execução. Medições recentes indicam que, com o mesmo modelo, a escolha do </w:t>
      </w:r>
      <w:r>
        <w:rPr>
          <w:i/>
          <w:iCs/>
          <w:sz w:val="20"/>
          <w:szCs w:val="20"/>
        </w:rPr>
        <w:t xml:space="preserve">harness</w:t>
      </w:r>
      <w:r>
        <w:rPr>
          <w:sz w:val="20"/>
          <w:szCs w:val="20"/>
        </w:rPr>
        <w:t xml:space="preserve"> muda pouco a taxa de sucesso e muito o custo, mas usam tarefas isoladas de </w:t>
      </w:r>
      <w:r>
        <w:rPr>
          <w:i/>
          <w:iCs/>
          <w:sz w:val="20"/>
          <w:szCs w:val="20"/>
        </w:rPr>
        <w:t xml:space="preserve">benchmarks</w:t>
      </w:r>
      <w:r>
        <w:rPr>
          <w:sz w:val="20"/>
          <w:szCs w:val="20"/>
        </w:rPr>
        <w:t xml:space="preserve">. Este artigo apresenta um experimento que mede, com o modelo fixo, a diferença de tokens e de taxa de sucesso atribuível ao </w:t>
      </w:r>
      <w:r>
        <w:rPr>
          <w:i/>
          <w:iCs/>
          <w:sz w:val="20"/>
          <w:szCs w:val="20"/>
        </w:rPr>
        <w:t xml:space="preserve">harness</w:t>
      </w:r>
      <w:r>
        <w:rPr>
          <w:sz w:val="20"/>
          <w:szCs w:val="20"/>
        </w:rPr>
        <w:t xml:space="preserve"> na construção de um mesmo produto, o Finn, um SaaS financeiro por voz. A pesquisa é aplicada, quali-quantitativa, exploratória e experimental. O OpenCode e o Pi constroem o Finn do zero a partir da mesma especificação, extraída de uma versão de referência feita pelo autor e dividida em unidades. Um </w:t>
      </w:r>
      <w:r>
        <w:rPr>
          <w:i/>
          <w:iCs/>
          <w:sz w:val="20"/>
          <w:szCs w:val="20"/>
        </w:rPr>
        <w:t xml:space="preserve">proxy</w:t>
      </w:r>
      <w:r>
        <w:rPr>
          <w:sz w:val="20"/>
          <w:szCs w:val="20"/>
        </w:rPr>
        <w:t xml:space="preserve"> reverso conta os tokens da mesma forma para os dois, testes de aceitação escritos antes da execução definem o sucesso, e o teste de Wilcoxon pareado por unidade compara os tokens em dois níveis de modelo. A primeira camada da medição, sem tarefa real e contra um </w:t>
      </w:r>
      <w:r>
        <w:rPr>
          <w:i/>
          <w:iCs/>
          <w:sz w:val="20"/>
          <w:szCs w:val="20"/>
        </w:rPr>
        <w:t xml:space="preserve">endpoint</w:t>
      </w:r>
      <w:r>
        <w:rPr>
          <w:sz w:val="20"/>
          <w:szCs w:val="20"/>
        </w:rPr>
        <w:t xml:space="preserve"> simulado, mostrou que a primeira requisição do OpenCode tem 6.659 tokens, contra 1.228 do Pi, cerca de cinco vezes mais, quase toda em esquemas de ferramenta e </w:t>
      </w:r>
      <w:r>
        <w:rPr>
          <w:i/>
          <w:iCs/>
          <w:sz w:val="20"/>
          <w:szCs w:val="20"/>
        </w:rPr>
        <w:t xml:space="preserve">system prompt</w:t>
      </w:r>
      <w:r>
        <w:rPr>
          <w:sz w:val="20"/>
          <w:szCs w:val="20"/>
        </w:rPr>
        <w:t xml:space="preserve">. O OpenCode também faz uma chamada extra ao modelo, para gerar o título da sessão. Esses números são compatíveis com a hipótese de que a carga fixa por requisição explica a maior parte da diferença de custo, o que a construção completa vai testar.</w:t>
      </w:r>
    </w:p>
    <w:p>
      <w:pPr>
        <w:spacing w:before="0" w:after="120" w:line="240" w:lineRule="auto"/>
        <w:ind w:left="0" w:firstLine="0"/>
        <w:jc w:val="both"/>
      </w:pPr>
      <w:r>
        <w:rPr>
          <w:b/>
          <w:bCs/>
          <w:sz w:val="20"/>
          <w:szCs w:val="20"/>
        </w:rPr>
        <w:t xml:space="preserve">Palavras-chave:</w:t>
      </w:r>
      <w:r>
        <w:rPr>
          <w:sz w:val="20"/>
          <w:szCs w:val="20"/>
        </w:rPr>
        <w:t xml:space="preserve"> Inteligência artificial. Engenharia de software. OpenCode. Pi. Experimento controlado.</w:t>
      </w:r>
    </w:p>
    <w:p>
      <w:pPr>
        <w:spacing w:before="0" w:after="0" w:line="240" w:lineRule="auto"/>
        <w:ind w:left="0" w:firstLine="0"/>
        <w:jc w:val="both"/>
      </w:pPr>
    </w:p>
    <w:p>
      <w:pPr>
        <w:spacing w:before="0" w:after="120" w:line="240" w:lineRule="auto"/>
        <w:ind w:left="0" w:firstLine="0"/>
        <w:jc w:val="both"/>
      </w:pPr>
      <w:r>
        <w:rPr>
          <w:b/>
          <w:bCs/>
          <w:sz w:val="20"/>
          <w:szCs w:val="20"/>
        </w:rPr>
        <w:t xml:space="preserve">Abstract:</w:t>
      </w:r>
      <w:r>
        <w:rPr>
          <w:sz w:val="20"/>
          <w:szCs w:val="20"/>
        </w:rPr>
        <w:t xml:space="preserve"> A coding agent has two parts: the language model and the </w:t>
      </w:r>
      <w:r>
        <w:rPr>
          <w:i/>
          <w:iCs/>
          <w:sz w:val="20"/>
          <w:szCs w:val="20"/>
        </w:rPr>
        <w:t xml:space="preserve">harness</w:t>
      </w:r>
      <w:r>
        <w:rPr>
          <w:sz w:val="20"/>
          <w:szCs w:val="20"/>
        </w:rPr>
        <w:t xml:space="preserve">, the software that builds the context, exposes the tools and drives the execution. Recent measurements indicate that, with the same model, the choice of </w:t>
      </w:r>
      <w:r>
        <w:rPr>
          <w:i/>
          <w:iCs/>
          <w:sz w:val="20"/>
          <w:szCs w:val="20"/>
        </w:rPr>
        <w:t xml:space="preserve">harness</w:t>
      </w:r>
      <w:r>
        <w:rPr>
          <w:sz w:val="20"/>
          <w:szCs w:val="20"/>
        </w:rPr>
        <w:t xml:space="preserve"> changes the success rate little and the cost a great deal, but they rely on isolated </w:t>
      </w:r>
      <w:r>
        <w:rPr>
          <w:i/>
          <w:iCs/>
          <w:sz w:val="20"/>
          <w:szCs w:val="20"/>
        </w:rPr>
        <w:t xml:space="preserve">benchmark</w:t>
      </w:r>
      <w:r>
        <w:rPr>
          <w:sz w:val="20"/>
          <w:szCs w:val="20"/>
        </w:rPr>
        <w:t xml:space="preserve"> tasks. This article presents an experiment that measures, with the model held fixed, the difference in tokens and success rate attributable to the </w:t>
      </w:r>
      <w:r>
        <w:rPr>
          <w:i/>
          <w:iCs/>
          <w:sz w:val="20"/>
          <w:szCs w:val="20"/>
        </w:rPr>
        <w:t xml:space="preserve">harness</w:t>
      </w:r>
      <w:r>
        <w:rPr>
          <w:sz w:val="20"/>
          <w:szCs w:val="20"/>
        </w:rPr>
        <w:t xml:space="preserve"> when building the same product, Finn, a voice-driven finance SaaS. The research is applied, mixed-methods, exploratory and experimental. OpenCode and Pi build Finn from scratch from the same specification, extracted from a reference build made by the author and split into units. A reverse proxy counts tokens in the same way for both, acceptance tests written before the runs define success, and a Wilcoxon signed-rank test paired by unit compares the tokens at two model tiers. The first measurement layer, with no real task and against a mock endpoint, showed that OpenCode’s first request carries 6,659 tokens against Pi’s 1,228, about five times as many, almost all of them in tool schemas and system prompt. OpenCode also makes an extra model call to generate the session title. These figures are consistent with the hypothesis that the fixed per-request load explains most of the cost difference, which the full construction will test.</w:t>
      </w:r>
    </w:p>
    <w:p>
      <w:pPr>
        <w:spacing w:before="0" w:after="120" w:line="240" w:lineRule="auto"/>
        <w:ind w:left="0" w:firstLine="0"/>
        <w:jc w:val="both"/>
      </w:pPr>
      <w:r>
        <w:rPr>
          <w:b/>
          <w:bCs/>
          <w:sz w:val="20"/>
          <w:szCs w:val="20"/>
        </w:rPr>
        <w:t xml:space="preserve">Keywords:</w:t>
      </w:r>
      <w:r>
        <w:rPr>
          <w:sz w:val="20"/>
          <w:szCs w:val="20"/>
        </w:rPr>
        <w:t xml:space="preserve"> Artificial intelligence. Software engineering. OpenCode. Pi. Controlled experiment.</w:t>
      </w:r>
    </w:p>
    <w:p>
      <w:pPr>
        <w:keepNext/>
        <w:spacing w:before="240" w:after="120" w:line="360" w:lineRule="auto"/>
        <w:ind w:left="0" w:firstLine="0"/>
        <w:jc w:val="left"/>
      </w:pPr>
      <w:r>
        <w:rPr>
          <w:b/>
          <w:bCs/>
          <w:sz w:val="24"/>
          <w:szCs w:val="24"/>
        </w:rPr>
        <w:t xml:space="preserve">1 INTRODUÇÃO</w:t>
      </w:r>
    </w:p>
    <w:p>
      <w:pPr>
        <w:spacing w:before="0" w:after="0" w:line="360" w:lineRule="auto"/>
        <w:ind w:left="0" w:firstLine="709"/>
        <w:jc w:val="both"/>
      </w:pPr>
      <w:r>
        <w:rPr>
          <w:sz w:val="24"/>
          <w:szCs w:val="24"/>
        </w:rPr>
        <w:t xml:space="preserve">Um </w:t>
      </w:r>
      <w:r>
        <w:rPr>
          <w:i/>
          <w:iCs/>
          <w:sz w:val="24"/>
          <w:szCs w:val="24"/>
        </w:rPr>
        <w:t xml:space="preserve">coding agent</w:t>
      </w:r>
      <w:r>
        <w:rPr>
          <w:sz w:val="24"/>
          <w:szCs w:val="24"/>
        </w:rPr>
        <w:t xml:space="preserve"> tem duas partes: o modelo de linguagem e o </w:t>
      </w:r>
      <w:r>
        <w:rPr>
          <w:i/>
          <w:iCs/>
          <w:sz w:val="24"/>
          <w:szCs w:val="24"/>
        </w:rPr>
        <w:t xml:space="preserve">harness</w:t>
      </w:r>
      <w:r>
        <w:rPr>
          <w:sz w:val="24"/>
          <w:szCs w:val="24"/>
        </w:rPr>
        <w:t xml:space="preserve">, o software ao redor dele que monta o contexto, expõe as ferramentas e conduz a execução. Pan </w:t>
      </w:r>
      <w:r>
        <w:rPr>
          <w:i/>
          <w:iCs/>
          <w:sz w:val="24"/>
          <w:szCs w:val="24"/>
        </w:rPr>
        <w:t xml:space="preserve">et al.</w:t>
      </w:r>
      <w:r>
        <w:rPr>
          <w:sz w:val="24"/>
          <w:szCs w:val="24"/>
        </w:rPr>
        <w:t xml:space="preserve"> (2026), da Universidade da Califórnia em Berkeley, avaliaram sete modelos em três </w:t>
      </w:r>
      <w:r>
        <w:rPr>
          <w:i/>
          <w:iCs/>
          <w:sz w:val="24"/>
          <w:szCs w:val="24"/>
        </w:rPr>
        <w:t xml:space="preserve">harnesses</w:t>
      </w:r>
      <w:r>
        <w:rPr>
          <w:sz w:val="24"/>
          <w:szCs w:val="24"/>
        </w:rPr>
        <w:t xml:space="preserve"> e concluíram que a escolha do </w:t>
      </w:r>
      <w:r>
        <w:rPr>
          <w:i/>
          <w:iCs/>
          <w:sz w:val="24"/>
          <w:szCs w:val="24"/>
        </w:rPr>
        <w:t xml:space="preserve">harness</w:t>
      </w:r>
      <w:r>
        <w:rPr>
          <w:sz w:val="24"/>
          <w:szCs w:val="24"/>
        </w:rPr>
        <w:t xml:space="preserve"> influencia notavelmente o custo. No SWE-bench Lite, o Fable 5 resolve 97,8% das tentativas no Claude Code e 96,7% no Pi, e o Claude Code custa aproximadamente o dobro por tentativa (US$ 1,33 contra US$ 0,67).</w:t>
      </w:r>
    </w:p>
    <w:p>
      <w:pPr>
        <w:spacing w:before="0" w:after="0" w:line="360" w:lineRule="auto"/>
        <w:ind w:left="0" w:firstLine="709"/>
        <w:jc w:val="both"/>
      </w:pPr>
      <w:r>
        <w:rPr>
          <w:sz w:val="24"/>
          <w:szCs w:val="24"/>
        </w:rPr>
        <w:t xml:space="preserve">Quem paga por tokens paga também essa diferença. Essas medições usam tarefas isoladas de </w:t>
      </w:r>
      <w:r>
        <w:rPr>
          <w:i/>
          <w:iCs/>
          <w:sz w:val="24"/>
          <w:szCs w:val="24"/>
        </w:rPr>
        <w:t xml:space="preserve">benchmarks</w:t>
      </w:r>
      <w:r>
        <w:rPr>
          <w:sz w:val="24"/>
          <w:szCs w:val="24"/>
        </w:rPr>
        <w:t xml:space="preserve"> que os modelos podem ter visto no treino, e os próprios autores apontam como próximo passo medir o </w:t>
      </w:r>
      <w:r>
        <w:rPr>
          <w:i/>
          <w:iCs/>
          <w:sz w:val="24"/>
          <w:szCs w:val="24"/>
        </w:rPr>
        <w:t xml:space="preserve">harness</w:t>
      </w:r>
      <w:r>
        <w:rPr>
          <w:sz w:val="24"/>
          <w:szCs w:val="24"/>
        </w:rPr>
        <w:t xml:space="preserve"> em fluxos reais de desenvolvimento, com tarefas de várias sessões. Este trabalho constrói o mesmo produto com o OpenCode e com o Pi, sobre o mesmo modelo e a mesma especificação, e conta os tokens fora do </w:t>
      </w:r>
      <w:r>
        <w:rPr>
          <w:i/>
          <w:iCs/>
          <w:sz w:val="24"/>
          <w:szCs w:val="24"/>
        </w:rPr>
        <w:t xml:space="preserve">harness</w:t>
      </w:r>
      <w:r>
        <w:rPr>
          <w:sz w:val="24"/>
          <w:szCs w:val="24"/>
        </w:rPr>
        <w:t xml:space="preserve">. O produto é o Finn, um SaaS voltado para o setor financeiro das empresas.</w:t>
      </w:r>
    </w:p>
    <w:p>
      <w:pPr>
        <w:spacing w:before="0" w:after="0" w:line="360" w:lineRule="auto"/>
        <w:ind w:left="0" w:firstLine="709"/>
        <w:jc w:val="both"/>
      </w:pPr>
      <w:r>
        <w:rPr>
          <w:sz w:val="24"/>
          <w:szCs w:val="24"/>
        </w:rPr>
        <w:t xml:space="preserve">O tema é o efeito do </w:t>
      </w:r>
      <w:r>
        <w:rPr>
          <w:i/>
          <w:iCs/>
          <w:sz w:val="24"/>
          <w:szCs w:val="24"/>
        </w:rPr>
        <w:t xml:space="preserve">harness</w:t>
      </w:r>
      <w:r>
        <w:rPr>
          <w:sz w:val="24"/>
          <w:szCs w:val="24"/>
        </w:rPr>
        <w:t xml:space="preserve"> sobre o custo e o desempenho de um modelo de linguagem fixo na construção de um produto de software completo. O problema é: com o mesmo modelo, quanto a escolha do </w:t>
      </w:r>
      <w:r>
        <w:rPr>
          <w:i/>
          <w:iCs/>
          <w:sz w:val="24"/>
          <w:szCs w:val="24"/>
        </w:rPr>
        <w:t xml:space="preserve">harness</w:t>
      </w:r>
      <w:r>
        <w:rPr>
          <w:sz w:val="24"/>
          <w:szCs w:val="24"/>
        </w:rPr>
        <w:t xml:space="preserve"> influencia o custo e a taxa de sucesso na construção do mesmo software?</w:t>
      </w:r>
    </w:p>
    <w:p>
      <w:pPr>
        <w:spacing w:before="0" w:after="0" w:line="360" w:lineRule="auto"/>
        <w:ind w:left="0" w:firstLine="709"/>
        <w:jc w:val="both"/>
      </w:pPr>
      <w:r>
        <w:rPr>
          <w:sz w:val="24"/>
          <w:szCs w:val="24"/>
        </w:rPr>
        <w:t xml:space="preserve">O objetivo geral é medir, com o mesmo modelo, a diferença de tokens e de taxa de sucesso atribuível ao </w:t>
      </w:r>
      <w:r>
        <w:rPr>
          <w:i/>
          <w:iCs/>
          <w:sz w:val="24"/>
          <w:szCs w:val="24"/>
        </w:rPr>
        <w:t xml:space="preserve">harness</w:t>
      </w:r>
      <w:r>
        <w:rPr>
          <w:sz w:val="24"/>
          <w:szCs w:val="24"/>
        </w:rPr>
        <w:t xml:space="preserve"> na construção do mesmo produto a partir da mesma especificação, com o OpenCode e o Pi como </w:t>
      </w:r>
      <w:r>
        <w:rPr>
          <w:i/>
          <w:iCs/>
          <w:sz w:val="24"/>
          <w:szCs w:val="24"/>
        </w:rPr>
        <w:t xml:space="preserve">coding agents</w:t>
      </w:r>
      <w:r>
        <w:rPr>
          <w:sz w:val="24"/>
          <w:szCs w:val="24"/>
        </w:rPr>
        <w:t xml:space="preserve">, e separar a parcela que vem da carga fixa por requisição. Os objetivos específicos são: (1) construir o </w:t>
      </w:r>
      <w:r>
        <w:rPr>
          <w:i/>
          <w:iCs/>
          <w:sz w:val="24"/>
          <w:szCs w:val="24"/>
        </w:rPr>
        <w:t xml:space="preserve">proxy</w:t>
      </w:r>
      <w:r>
        <w:rPr>
          <w:sz w:val="24"/>
          <w:szCs w:val="24"/>
        </w:rPr>
        <w:t xml:space="preserve"> que conta requisições, tokens e latência por </w:t>
      </w:r>
      <w:r>
        <w:rPr>
          <w:i/>
          <w:iCs/>
          <w:sz w:val="24"/>
          <w:szCs w:val="24"/>
        </w:rPr>
        <w:t xml:space="preserve">coding agent</w:t>
      </w:r>
      <w:r>
        <w:rPr>
          <w:sz w:val="24"/>
          <w:szCs w:val="24"/>
        </w:rPr>
        <w:t xml:space="preserve">; (2) construir o Finn de referência e extrair dele a especificação e os testes; (3) construir o Finn nos dois </w:t>
      </w:r>
      <w:r>
        <w:rPr>
          <w:i/>
          <w:iCs/>
          <w:sz w:val="24"/>
          <w:szCs w:val="24"/>
        </w:rPr>
        <w:t xml:space="preserve">harnesses</w:t>
      </w:r>
      <w:r>
        <w:rPr>
          <w:sz w:val="24"/>
          <w:szCs w:val="24"/>
        </w:rPr>
        <w:t xml:space="preserve">, com o mesmo modelo, </w:t>
      </w:r>
      <w:r>
        <w:rPr>
          <w:i/>
          <w:iCs/>
          <w:sz w:val="24"/>
          <w:szCs w:val="24"/>
        </w:rPr>
        <w:t xml:space="preserve">prompt</w:t>
      </w:r>
      <w:r>
        <w:rPr>
          <w:sz w:val="24"/>
          <w:szCs w:val="24"/>
        </w:rPr>
        <w:t xml:space="preserve"> e espaço inicial; (4) repetir em um segundo modelo e verificar se a ordenação dos </w:t>
      </w:r>
      <w:r>
        <w:rPr>
          <w:i/>
          <w:iCs/>
          <w:sz w:val="24"/>
          <w:szCs w:val="24"/>
        </w:rPr>
        <w:t xml:space="preserve">coding agents</w:t>
      </w:r>
      <w:r>
        <w:rPr>
          <w:sz w:val="24"/>
          <w:szCs w:val="24"/>
        </w:rPr>
        <w:t xml:space="preserve"> se mantém; (5) comparar os tokens relatados por cada </w:t>
      </w:r>
      <w:r>
        <w:rPr>
          <w:i/>
          <w:iCs/>
          <w:sz w:val="24"/>
          <w:szCs w:val="24"/>
        </w:rPr>
        <w:t xml:space="preserve">harness</w:t>
      </w:r>
      <w:r>
        <w:rPr>
          <w:sz w:val="24"/>
          <w:szCs w:val="24"/>
        </w:rPr>
        <w:t xml:space="preserve"> com os medidos no </w:t>
      </w:r>
      <w:r>
        <w:rPr>
          <w:i/>
          <w:iCs/>
          <w:sz w:val="24"/>
          <w:szCs w:val="24"/>
        </w:rPr>
        <w:t xml:space="preserve">proxy</w:t>
      </w:r>
      <w:r>
        <w:rPr>
          <w:sz w:val="24"/>
          <w:szCs w:val="24"/>
        </w:rPr>
        <w:t xml:space="preserve">; (6) publicar executor, </w:t>
      </w:r>
      <w:r>
        <w:rPr>
          <w:i/>
          <w:iCs/>
          <w:sz w:val="24"/>
          <w:szCs w:val="24"/>
        </w:rPr>
        <w:t xml:space="preserve">prompts</w:t>
      </w:r>
      <w:r>
        <w:rPr>
          <w:sz w:val="24"/>
          <w:szCs w:val="24"/>
        </w:rPr>
        <w:t xml:space="preserve">, testes, dados e scripts de análise.</w:t>
      </w:r>
    </w:p>
    <w:p>
      <w:pPr>
        <w:spacing w:before="0" w:after="0" w:line="360" w:lineRule="auto"/>
        <w:ind w:left="0" w:firstLine="709"/>
        <w:jc w:val="both"/>
      </w:pPr>
      <w:r>
        <w:rPr>
          <w:sz w:val="24"/>
          <w:szCs w:val="24"/>
        </w:rPr>
        <w:t xml:space="preserve">H1: com o modelo fixo, o </w:t>
      </w:r>
      <w:r>
        <w:rPr>
          <w:i/>
          <w:iCs/>
          <w:sz w:val="24"/>
          <w:szCs w:val="24"/>
        </w:rPr>
        <w:t xml:space="preserve">harness</w:t>
      </w:r>
      <w:r>
        <w:rPr>
          <w:sz w:val="24"/>
          <w:szCs w:val="24"/>
        </w:rPr>
        <w:t xml:space="preserve"> muda mais o custo do que o sucesso. Os tokens por unidade diferem entre o OpenCode e o Pi, e a fração de testes aprovados fica igual. H1 será refutada se o teste pareado não apontar diferença de tokens ou se as medianas da fração final de testes aprovados diferirem entre os </w:t>
      </w:r>
      <w:r>
        <w:rPr>
          <w:i/>
          <w:iCs/>
          <w:sz w:val="24"/>
          <w:szCs w:val="24"/>
        </w:rPr>
        <w:t xml:space="preserve">coding agents</w:t>
      </w:r>
      <w:r>
        <w:rPr>
          <w:sz w:val="24"/>
          <w:szCs w:val="24"/>
        </w:rPr>
        <w:t xml:space="preserve">.</w:t>
      </w:r>
    </w:p>
    <w:p>
      <w:pPr>
        <w:spacing w:before="0" w:after="0" w:line="360" w:lineRule="auto"/>
        <w:ind w:left="0" w:firstLine="709"/>
        <w:jc w:val="both"/>
      </w:pPr>
      <w:r>
        <w:rPr>
          <w:sz w:val="24"/>
          <w:szCs w:val="24"/>
        </w:rPr>
        <w:t xml:space="preserve">H2: a carga fixa por requisição (</w:t>
      </w:r>
      <w:r>
        <w:rPr>
          <w:i/>
          <w:iCs/>
          <w:sz w:val="24"/>
          <w:szCs w:val="24"/>
        </w:rPr>
        <w:t xml:space="preserve">system prompt</w:t>
      </w:r>
      <w:r>
        <w:rPr>
          <w:sz w:val="24"/>
          <w:szCs w:val="24"/>
        </w:rPr>
        <w:t xml:space="preserve"> e esquemas de ferramenta) explica a maior parte da diferença de tokens, e o número de passos explica a menor. H2 será refutada se os passos ou o conteúdo da conversa explicarem a maior parte.</w:t>
      </w:r>
    </w:p>
    <w:p>
      <w:pPr>
        <w:spacing w:before="0" w:after="0" w:line="360" w:lineRule="auto"/>
        <w:ind w:left="0" w:firstLine="709"/>
        <w:jc w:val="both"/>
      </w:pPr>
      <w:r>
        <w:rPr>
          <w:sz w:val="24"/>
          <w:szCs w:val="24"/>
        </w:rPr>
        <w:t xml:space="preserve">Um </w:t>
      </w:r>
      <w:r>
        <w:rPr>
          <w:i/>
          <w:iCs/>
          <w:sz w:val="24"/>
          <w:szCs w:val="24"/>
        </w:rPr>
        <w:t xml:space="preserve">proxy</w:t>
      </w:r>
      <w:r>
        <w:rPr>
          <w:sz w:val="24"/>
          <w:szCs w:val="24"/>
        </w:rPr>
        <w:t xml:space="preserve"> reverso entre cada </w:t>
      </w:r>
      <w:r>
        <w:rPr>
          <w:i/>
          <w:iCs/>
          <w:sz w:val="24"/>
          <w:szCs w:val="24"/>
        </w:rPr>
        <w:t xml:space="preserve">harness</w:t>
      </w:r>
      <w:r>
        <w:rPr>
          <w:sz w:val="24"/>
          <w:szCs w:val="24"/>
        </w:rPr>
        <w:t xml:space="preserve"> e o modelo contará requisições, tokens e latência da mesma forma para os dois </w:t>
      </w:r>
      <w:r>
        <w:rPr>
          <w:i/>
          <w:iCs/>
          <w:sz w:val="24"/>
          <w:szCs w:val="24"/>
        </w:rPr>
        <w:t xml:space="preserve">coding agents</w:t>
      </w:r>
      <w:r>
        <w:rPr>
          <w:sz w:val="24"/>
          <w:szCs w:val="24"/>
        </w:rPr>
        <w:t xml:space="preserve">. Cada </w:t>
      </w:r>
      <w:r>
        <w:rPr>
          <w:i/>
          <w:iCs/>
          <w:sz w:val="24"/>
          <w:szCs w:val="24"/>
        </w:rPr>
        <w:t xml:space="preserve">coding agent</w:t>
      </w:r>
      <w:r>
        <w:rPr>
          <w:sz w:val="24"/>
          <w:szCs w:val="24"/>
        </w:rPr>
        <w:t xml:space="preserve"> construirá o Finn do zero ao menos três vezes, a partir da especificação extraída do Finn de referência do autor, e a diferença entre os </w:t>
      </w:r>
      <w:r>
        <w:rPr>
          <w:i/>
          <w:iCs/>
          <w:sz w:val="24"/>
          <w:szCs w:val="24"/>
        </w:rPr>
        <w:t xml:space="preserve">coding agents</w:t>
      </w:r>
      <w:r>
        <w:rPr>
          <w:sz w:val="24"/>
          <w:szCs w:val="24"/>
        </w:rPr>
        <w:t xml:space="preserve"> será comparada unidade a unidade.</w:t>
      </w:r>
    </w:p>
    <w:p>
      <w:pPr>
        <w:spacing w:before="0" w:after="0" w:line="360" w:lineRule="auto"/>
        <w:ind w:left="0" w:firstLine="709"/>
        <w:jc w:val="both"/>
      </w:pPr>
      <w:r>
        <w:rPr>
          <w:sz w:val="24"/>
          <w:szCs w:val="24"/>
        </w:rPr>
        <w:t xml:space="preserve">Após esta introdução, a seção 2 apresenta o referencial teórico e a seção 3, o material e método. A seção 4 traz os resultados da primeira camada de medição e a seção 5, as considerações finais.</w:t>
      </w:r>
    </w:p>
    <w:p>
      <w:pPr>
        <w:keepNext/>
        <w:spacing w:before="240" w:after="120" w:line="360" w:lineRule="auto"/>
        <w:ind w:left="0" w:firstLine="0"/>
        <w:jc w:val="left"/>
      </w:pPr>
      <w:r>
        <w:rPr>
          <w:b/>
          <w:bCs/>
          <w:sz w:val="24"/>
          <w:szCs w:val="24"/>
        </w:rPr>
        <w:t xml:space="preserve">2 REFERENCIAL TEÓRICO</w:t>
      </w:r>
    </w:p>
    <w:p>
      <w:pPr>
        <w:spacing w:before="0" w:after="0" w:line="360" w:lineRule="auto"/>
        <w:ind w:left="0" w:firstLine="709"/>
        <w:jc w:val="both"/>
      </w:pPr>
      <w:r>
        <w:rPr>
          <w:sz w:val="24"/>
          <w:szCs w:val="24"/>
        </w:rPr>
        <w:t xml:space="preserve">Segundo Ning </w:t>
      </w:r>
      <w:r>
        <w:rPr>
          <w:i/>
          <w:iCs/>
          <w:sz w:val="24"/>
          <w:szCs w:val="24"/>
        </w:rPr>
        <w:t xml:space="preserve">et al.</w:t>
      </w:r>
      <w:r>
        <w:rPr>
          <w:sz w:val="24"/>
          <w:szCs w:val="24"/>
        </w:rPr>
        <w:t xml:space="preserve"> (2026, p. 7, tradução nossa), um </w:t>
      </w:r>
      <w:r>
        <w:rPr>
          <w:i/>
          <w:iCs/>
          <w:sz w:val="24"/>
          <w:szCs w:val="24"/>
        </w:rPr>
        <w:t xml:space="preserve">harness</w:t>
      </w:r>
      <w:r>
        <w:rPr>
          <w:sz w:val="24"/>
          <w:szCs w:val="24"/>
        </w:rPr>
        <w:t xml:space="preserve"> “converte um modelo de linguagem sem estado em um agente funcional ao ancorar suas saídas em execução externa, estado persistente e realimentação verificável”. Lin </w:t>
      </w:r>
      <w:r>
        <w:rPr>
          <w:i/>
          <w:iCs/>
          <w:sz w:val="24"/>
          <w:szCs w:val="24"/>
        </w:rPr>
        <w:t xml:space="preserve">et al.</w:t>
      </w:r>
      <w:r>
        <w:rPr>
          <w:sz w:val="24"/>
          <w:szCs w:val="24"/>
        </w:rPr>
        <w:t xml:space="preserve"> (2026) delimitam essa camada:</w:t>
      </w:r>
    </w:p>
    <w:p>
      <w:pPr>
        <w:spacing w:before="240" w:after="240" w:line="240" w:lineRule="auto"/>
        <w:ind w:left="2268" w:firstLine="0"/>
        <w:jc w:val="both"/>
      </w:pPr>
      <w:r>
        <w:rPr>
          <w:sz w:val="20"/>
          <w:szCs w:val="20"/>
        </w:rPr>
        <w:t xml:space="preserve">Na prática, esse progresso depende não apenas do modelo de linguagem subjacente, mas igualmente dos componentes de engenharia que o cercam: o </w:t>
      </w:r>
      <w:r>
        <w:rPr>
          <w:i/>
          <w:iCs/>
          <w:sz w:val="20"/>
          <w:szCs w:val="20"/>
        </w:rPr>
        <w:t xml:space="preserve">system prompt</w:t>
      </w:r>
      <w:r>
        <w:rPr>
          <w:sz w:val="20"/>
          <w:szCs w:val="20"/>
        </w:rPr>
        <w:t xml:space="preserve"> que molda o estilo de trabalho, as ferramentas que expõem o sistema de arquivos e o shell, e o middleware que controla contexto, execução e recuperação. Esse conjunto de componentes externos ao modelo e editáveis é chamado coletivamente de </w:t>
      </w:r>
      <w:r>
        <w:rPr>
          <w:i/>
          <w:iCs/>
          <w:sz w:val="20"/>
          <w:szCs w:val="20"/>
        </w:rPr>
        <w:t xml:space="preserve">harness</w:t>
      </w:r>
      <w:r>
        <w:rPr>
          <w:sz w:val="20"/>
          <w:szCs w:val="20"/>
        </w:rPr>
        <w:t xml:space="preserve"> do agente. (Lin </w:t>
      </w:r>
      <w:r>
        <w:rPr>
          <w:i/>
          <w:iCs/>
          <w:sz w:val="20"/>
          <w:szCs w:val="20"/>
        </w:rPr>
        <w:t xml:space="preserve">et al.</w:t>
      </w:r>
      <w:r>
        <w:rPr>
          <w:sz w:val="20"/>
          <w:szCs w:val="20"/>
        </w:rPr>
        <w:t xml:space="preserve">, 2026, p. 1, tradução nossa).</w:t>
      </w:r>
    </w:p>
    <w:p>
      <w:pPr>
        <w:spacing w:before="0" w:after="0" w:line="360" w:lineRule="auto"/>
        <w:ind w:left="0" w:firstLine="709"/>
        <w:jc w:val="both"/>
      </w:pPr>
      <w:r>
        <w:rPr>
          <w:sz w:val="24"/>
          <w:szCs w:val="24"/>
        </w:rPr>
        <w:t xml:space="preserve">Avaliar um agente é avaliar o </w:t>
      </w:r>
      <w:r>
        <w:rPr>
          <w:i/>
          <w:iCs/>
          <w:sz w:val="24"/>
          <w:szCs w:val="24"/>
        </w:rPr>
        <w:t xml:space="preserve">harness</w:t>
      </w:r>
      <w:r>
        <w:rPr>
          <w:sz w:val="24"/>
          <w:szCs w:val="24"/>
        </w:rPr>
        <w:t xml:space="preserve"> e o modelo juntos (Grace </w:t>
      </w:r>
      <w:r>
        <w:rPr>
          <w:i/>
          <w:iCs/>
          <w:sz w:val="24"/>
          <w:szCs w:val="24"/>
        </w:rPr>
        <w:t xml:space="preserve">et al.</w:t>
      </w:r>
      <w:r>
        <w:rPr>
          <w:sz w:val="24"/>
          <w:szCs w:val="24"/>
        </w:rPr>
        <w:t xml:space="preserve">, 2026). Por isso só esse conjunto varia entre os </w:t>
      </w:r>
      <w:r>
        <w:rPr>
          <w:i/>
          <w:iCs/>
          <w:sz w:val="24"/>
          <w:szCs w:val="24"/>
        </w:rPr>
        <w:t xml:space="preserve">coding agents</w:t>
      </w:r>
      <w:r>
        <w:rPr>
          <w:sz w:val="24"/>
          <w:szCs w:val="24"/>
        </w:rPr>
        <w:t xml:space="preserve"> deste experimento. O Pi envia quatro ferramentas e um </w:t>
      </w:r>
      <w:r>
        <w:rPr>
          <w:i/>
          <w:iCs/>
          <w:sz w:val="24"/>
          <w:szCs w:val="24"/>
        </w:rPr>
        <w:t xml:space="preserve">system prompt</w:t>
      </w:r>
      <w:r>
        <w:rPr>
          <w:sz w:val="24"/>
          <w:szCs w:val="24"/>
        </w:rPr>
        <w:t xml:space="preserve"> curto (Earendil, 2026), e o OpenCode envia mais ferramentas, subagentes e permissões (Opencode, 2026a).</w:t>
      </w:r>
    </w:p>
    <w:p>
      <w:pPr>
        <w:spacing w:before="0" w:after="0" w:line="360" w:lineRule="auto"/>
        <w:ind w:left="0" w:firstLine="709"/>
        <w:jc w:val="both"/>
      </w:pPr>
      <w:r>
        <w:rPr>
          <w:sz w:val="24"/>
          <w:szCs w:val="24"/>
        </w:rPr>
        <w:t xml:space="preserve">Na Tabela 1 de Lin </w:t>
      </w:r>
      <w:r>
        <w:rPr>
          <w:i/>
          <w:iCs/>
          <w:sz w:val="24"/>
          <w:szCs w:val="24"/>
        </w:rPr>
        <w:t xml:space="preserve">et al.</w:t>
      </w:r>
      <w:r>
        <w:rPr>
          <w:sz w:val="24"/>
          <w:szCs w:val="24"/>
        </w:rPr>
        <w:t xml:space="preserve"> (2026), </w:t>
      </w:r>
      <w:r>
        <w:rPr>
          <w:i/>
          <w:iCs/>
          <w:sz w:val="24"/>
          <w:szCs w:val="24"/>
        </w:rPr>
        <w:t xml:space="preserve">harnesses</w:t>
      </w:r>
      <w:r>
        <w:rPr>
          <w:sz w:val="24"/>
          <w:szCs w:val="24"/>
        </w:rPr>
        <w:t xml:space="preserve"> escritos por humanos vão de 47,2% de aprovação no OpenCode a 71,9% no Codex, no Terminal-Bench 2. Zhang </w:t>
      </w:r>
      <w:r>
        <w:rPr>
          <w:i/>
          <w:iCs/>
          <w:sz w:val="24"/>
          <w:szCs w:val="24"/>
        </w:rPr>
        <w:t xml:space="preserve">et al.</w:t>
      </w:r>
      <w:r>
        <w:rPr>
          <w:sz w:val="24"/>
          <w:szCs w:val="24"/>
        </w:rPr>
        <w:t xml:space="preserve"> (2026) sustentam que, em tarefas longas e entre modelos de fronteira comparáveis, a variação de desempenho devida ao </w:t>
      </w:r>
      <w:r>
        <w:rPr>
          <w:i/>
          <w:iCs/>
          <w:sz w:val="24"/>
          <w:szCs w:val="24"/>
        </w:rPr>
        <w:t xml:space="preserve">harness</w:t>
      </w:r>
      <w:r>
        <w:rPr>
          <w:sz w:val="24"/>
          <w:szCs w:val="24"/>
        </w:rPr>
        <w:t xml:space="preserve"> é frequentemente comparável ou maior que a devida ao modelo. Pan </w:t>
      </w:r>
      <w:r>
        <w:rPr>
          <w:i/>
          <w:iCs/>
          <w:sz w:val="24"/>
          <w:szCs w:val="24"/>
        </w:rPr>
        <w:t xml:space="preserve">et al.</w:t>
      </w:r>
      <w:r>
        <w:rPr>
          <w:sz w:val="24"/>
          <w:szCs w:val="24"/>
        </w:rPr>
        <w:t xml:space="preserve"> (2026) mediram outra coisa no SWE-bench Lite: o efeito médio do </w:t>
      </w:r>
      <w:r>
        <w:rPr>
          <w:i/>
          <w:iCs/>
          <w:sz w:val="24"/>
          <w:szCs w:val="24"/>
        </w:rPr>
        <w:t xml:space="preserve">harness</w:t>
      </w:r>
      <w:r>
        <w:rPr>
          <w:sz w:val="24"/>
          <w:szCs w:val="24"/>
        </w:rPr>
        <w:t xml:space="preserve"> sobre a taxa de sucesso ficou dentro de ±2%, enquanto o Claude Code custou, em média, cerca de 2,0 vezes o Pi. Em Jin </w:t>
      </w:r>
      <w:r>
        <w:rPr>
          <w:i/>
          <w:iCs/>
          <w:sz w:val="24"/>
          <w:szCs w:val="24"/>
        </w:rPr>
        <w:t xml:space="preserve">et al.</w:t>
      </w:r>
      <w:r>
        <w:rPr>
          <w:sz w:val="24"/>
          <w:szCs w:val="24"/>
        </w:rPr>
        <w:t xml:space="preserve"> (2026), no SWE-bench Verified de 500 tarefas, trocar o mini-SWE-agent pelo HERMES, com o GPT-5.6 Sol, levou a resolução de 96,20% para 97,00% e o custo por tarefa de US$ 1,15 para US$ 1,80. Com o GPT-5 Mini, a resolução subiu de 60,80% para 80,20%.</w:t>
      </w:r>
    </w:p>
    <w:p>
      <w:pPr>
        <w:spacing w:before="0" w:after="0" w:line="360" w:lineRule="auto"/>
        <w:ind w:left="0" w:firstLine="709"/>
        <w:jc w:val="both"/>
      </w:pPr>
      <w:r>
        <w:rPr>
          <w:sz w:val="24"/>
          <w:szCs w:val="24"/>
        </w:rPr>
        <w:t xml:space="preserve">No Terminal-Bench 2.0, com 89 tarefas e ao menos cinco execuções por par, o Gemini 2.5 Pro resolveu 32,6% das tarefas no Terminus 2 e 15,7% no OpenHands, mas os autores concluem que o modelo costuma pesar mais que o </w:t>
      </w:r>
      <w:r>
        <w:rPr>
          <w:i/>
          <w:iCs/>
          <w:sz w:val="24"/>
          <w:szCs w:val="24"/>
        </w:rPr>
        <w:t xml:space="preserve">harness</w:t>
      </w:r>
      <w:r>
        <w:rPr>
          <w:sz w:val="24"/>
          <w:szCs w:val="24"/>
        </w:rPr>
        <w:t xml:space="preserve"> (Merrill </w:t>
      </w:r>
      <w:r>
        <w:rPr>
          <w:i/>
          <w:iCs/>
          <w:sz w:val="24"/>
          <w:szCs w:val="24"/>
        </w:rPr>
        <w:t xml:space="preserve">et al.</w:t>
      </w:r>
      <w:r>
        <w:rPr>
          <w:sz w:val="24"/>
          <w:szCs w:val="24"/>
        </w:rPr>
        <w:t xml:space="preserve">, 2026). Entre o OpenCode e o Pi, o DeepSeek-AI (2026) obteve 85,0% e 86,1% no Terminal-Bench v2.1 com o DeepSeek-V4.1-Flash, e Furgale </w:t>
      </w:r>
      <w:r>
        <w:rPr>
          <w:i/>
          <w:iCs/>
          <w:sz w:val="24"/>
          <w:szCs w:val="24"/>
        </w:rPr>
        <w:t xml:space="preserve">et al.</w:t>
      </w:r>
      <w:r>
        <w:rPr>
          <w:sz w:val="24"/>
          <w:szCs w:val="24"/>
        </w:rPr>
        <w:t xml:space="preserve"> (2026), 52,8% e 75,3% no Terminal-Bench 2.0 com o GPT-5.5. Como as fontes divergem sobre o sucesso, este trabalho mede sucesso e custo juntos.</w:t>
      </w:r>
    </w:p>
    <w:p>
      <w:pPr>
        <w:spacing w:before="0" w:after="0" w:line="360" w:lineRule="auto"/>
        <w:ind w:left="0" w:firstLine="709"/>
        <w:jc w:val="both"/>
      </w:pPr>
      <w:r>
        <w:rPr>
          <w:sz w:val="24"/>
          <w:szCs w:val="24"/>
        </w:rPr>
        <w:t xml:space="preserve">A primeira pendência é saber de onde vem a diferença de custo. Para Pan </w:t>
      </w:r>
      <w:r>
        <w:rPr>
          <w:i/>
          <w:iCs/>
          <w:sz w:val="24"/>
          <w:szCs w:val="24"/>
        </w:rPr>
        <w:t xml:space="preserve">et al.</w:t>
      </w:r>
      <w:r>
        <w:rPr>
          <w:sz w:val="24"/>
          <w:szCs w:val="24"/>
        </w:rPr>
        <w:t xml:space="preserve"> (2026), o imposto do </w:t>
      </w:r>
      <w:r>
        <w:rPr>
          <w:i/>
          <w:iCs/>
          <w:sz w:val="24"/>
          <w:szCs w:val="24"/>
        </w:rPr>
        <w:t xml:space="preserve">harness</w:t>
      </w:r>
      <w:r>
        <w:rPr>
          <w:sz w:val="24"/>
          <w:szCs w:val="24"/>
        </w:rPr>
        <w:t xml:space="preserve"> pode começar na primeira requisição: nos sete modelos, o contexto inicial médio do Claude Code passa de dez vezes o do Pi, e no Claude Fable 5 os turnos quase se igualam (15,3 contra 15,4). Liu </w:t>
      </w:r>
      <w:r>
        <w:rPr>
          <w:i/>
          <w:iCs/>
          <w:sz w:val="24"/>
          <w:szCs w:val="24"/>
        </w:rPr>
        <w:t xml:space="preserve">et al.</w:t>
      </w:r>
      <w:r>
        <w:rPr>
          <w:sz w:val="24"/>
          <w:szCs w:val="24"/>
        </w:rPr>
        <w:t xml:space="preserve"> (2026) apontam o resto da conversa. Mudando só a execução das ações, a compactação de contexto, o tratamento das observações e a leitura delegada, cortaram de 44,7% a 49,0% dos tokens em relação ao Pi e mantiveram de 93,7% a 94,3% da pontuação dele.</w:t>
      </w:r>
    </w:p>
    <w:p>
      <w:pPr>
        <w:spacing w:before="0" w:after="0" w:line="360" w:lineRule="auto"/>
        <w:ind w:left="0" w:firstLine="709"/>
        <w:jc w:val="both"/>
      </w:pPr>
      <w:r>
        <w:rPr>
          <w:sz w:val="24"/>
          <w:szCs w:val="24"/>
        </w:rPr>
        <w:t xml:space="preserve">O gerenciamento de contexto, sozinho, também muda custo e sucesso com o modelo fixo. No SWE-agent com o Qwen3-Coder 480B, mascarar observações antigas baixou o custo por tarefa de US$ 1,29 para US$ 0,61 nas 500 tarefas do SWE-bench Verified (Lindenbauer </w:t>
      </w:r>
      <w:r>
        <w:rPr>
          <w:i/>
          <w:iCs/>
          <w:sz w:val="24"/>
          <w:szCs w:val="24"/>
        </w:rPr>
        <w:t xml:space="preserve">et al.</w:t>
      </w:r>
      <w:r>
        <w:rPr>
          <w:sz w:val="24"/>
          <w:szCs w:val="24"/>
        </w:rPr>
        <w:t xml:space="preserve">, 2025). Com o Claude 4 Sonnet, o gerenciamento de contexto elevou a resolução de 42,0% para 48,6% em 100 tarefas do SWE-Bench Pro (Wong </w:t>
      </w:r>
      <w:r>
        <w:rPr>
          <w:i/>
          <w:iCs/>
          <w:sz w:val="24"/>
          <w:szCs w:val="24"/>
        </w:rPr>
        <w:t xml:space="preserve">et al.</w:t>
      </w:r>
      <w:r>
        <w:rPr>
          <w:sz w:val="24"/>
          <w:szCs w:val="24"/>
        </w:rPr>
        <w:t xml:space="preserve">, 2025). Ning </w:t>
      </w:r>
      <w:r>
        <w:rPr>
          <w:i/>
          <w:iCs/>
          <w:sz w:val="24"/>
          <w:szCs w:val="24"/>
        </w:rPr>
        <w:t xml:space="preserve">et al.</w:t>
      </w:r>
      <w:r>
        <w:rPr>
          <w:sz w:val="24"/>
          <w:szCs w:val="24"/>
        </w:rPr>
        <w:t xml:space="preserve"> (2026, p. 66, tradução nossa) pedem “métricas que isolem componentes do </w:t>
      </w:r>
      <w:r>
        <w:rPr>
          <w:i/>
          <w:iCs/>
          <w:sz w:val="24"/>
          <w:szCs w:val="24"/>
        </w:rPr>
        <w:t xml:space="preserve">harness</w:t>
      </w:r>
      <w:r>
        <w:rPr>
          <w:sz w:val="24"/>
          <w:szCs w:val="24"/>
        </w:rPr>
        <w:t xml:space="preserve">”, e H2 testa se pesa mais a carga fixa ou a conversa.</w:t>
      </w:r>
    </w:p>
    <w:p>
      <w:pPr>
        <w:spacing w:before="0" w:after="0" w:line="360" w:lineRule="auto"/>
        <w:ind w:left="0" w:firstLine="709"/>
        <w:jc w:val="both"/>
      </w:pPr>
      <w:r>
        <w:rPr>
          <w:sz w:val="24"/>
          <w:szCs w:val="24"/>
        </w:rPr>
        <w:t xml:space="preserve">A segunda pendência é a instrumentação. Cada </w:t>
      </w:r>
      <w:r>
        <w:rPr>
          <w:i/>
          <w:iCs/>
          <w:sz w:val="24"/>
          <w:szCs w:val="24"/>
        </w:rPr>
        <w:t xml:space="preserve">harness</w:t>
      </w:r>
      <w:r>
        <w:rPr>
          <w:sz w:val="24"/>
          <w:szCs w:val="24"/>
        </w:rPr>
        <w:t xml:space="preserve"> conta turnos e tokens do seu jeito, e Pan </w:t>
      </w:r>
      <w:r>
        <w:rPr>
          <w:i/>
          <w:iCs/>
          <w:sz w:val="24"/>
          <w:szCs w:val="24"/>
        </w:rPr>
        <w:t xml:space="preserve">et al.</w:t>
      </w:r>
      <w:r>
        <w:rPr>
          <w:sz w:val="24"/>
          <w:szCs w:val="24"/>
        </w:rPr>
        <w:t xml:space="preserve"> (2026) registram que a definição de turno varia entre eles. Aqui a medição ocorre em um </w:t>
      </w:r>
      <w:r>
        <w:rPr>
          <w:i/>
          <w:iCs/>
          <w:sz w:val="24"/>
          <w:szCs w:val="24"/>
        </w:rPr>
        <w:t xml:space="preserve">proxy</w:t>
      </w:r>
      <w:r>
        <w:rPr>
          <w:sz w:val="24"/>
          <w:szCs w:val="24"/>
        </w:rPr>
        <w:t xml:space="preserve"> externo, igual para os dois </w:t>
      </w:r>
      <w:r>
        <w:rPr>
          <w:i/>
          <w:iCs/>
          <w:sz w:val="24"/>
          <w:szCs w:val="24"/>
        </w:rPr>
        <w:t xml:space="preserve">coding agents</w:t>
      </w:r>
      <w:r>
        <w:rPr>
          <w:sz w:val="24"/>
          <w:szCs w:val="24"/>
        </w:rPr>
        <w:t xml:space="preserve">, e o objetivo (5) compara essa medida com o relato de cada </w:t>
      </w:r>
      <w:r>
        <w:rPr>
          <w:i/>
          <w:iCs/>
          <w:sz w:val="24"/>
          <w:szCs w:val="24"/>
        </w:rPr>
        <w:t xml:space="preserve">harness</w:t>
      </w:r>
      <w:r>
        <w:rPr>
          <w:sz w:val="24"/>
          <w:szCs w:val="24"/>
        </w:rPr>
        <w:t xml:space="preserve">.</w:t>
      </w:r>
    </w:p>
    <w:p>
      <w:pPr>
        <w:spacing w:before="0" w:after="0" w:line="360" w:lineRule="auto"/>
        <w:ind w:left="0" w:firstLine="709"/>
        <w:jc w:val="both"/>
      </w:pPr>
      <w:r>
        <w:rPr>
          <w:sz w:val="24"/>
          <w:szCs w:val="24"/>
        </w:rPr>
        <w:t xml:space="preserve">As métricas serão tokens por construção, ao lado da fração de testes aprovados, e o Succ/Mtok (sucessos por milhão de tokens) de Lin </w:t>
      </w:r>
      <w:r>
        <w:rPr>
          <w:i/>
          <w:iCs/>
          <w:sz w:val="24"/>
          <w:szCs w:val="24"/>
        </w:rPr>
        <w:t xml:space="preserve">et al.</w:t>
      </w:r>
      <w:r>
        <w:rPr>
          <w:sz w:val="24"/>
          <w:szCs w:val="24"/>
        </w:rPr>
        <w:t xml:space="preserve"> (2026). O efeito também depende do modelo, pois em nove de doze comparações de Pan </w:t>
      </w:r>
      <w:r>
        <w:rPr>
          <w:i/>
          <w:iCs/>
          <w:sz w:val="24"/>
          <w:szCs w:val="24"/>
        </w:rPr>
        <w:t xml:space="preserve">et al.</w:t>
      </w:r>
      <w:r>
        <w:rPr>
          <w:sz w:val="24"/>
          <w:szCs w:val="24"/>
        </w:rPr>
        <w:t xml:space="preserve"> (2026) o maior sucesso veio de um </w:t>
      </w:r>
      <w:r>
        <w:rPr>
          <w:i/>
          <w:iCs/>
          <w:sz w:val="24"/>
          <w:szCs w:val="24"/>
        </w:rPr>
        <w:t xml:space="preserve">harness</w:t>
      </w:r>
      <w:r>
        <w:rPr>
          <w:sz w:val="24"/>
          <w:szCs w:val="24"/>
        </w:rPr>
        <w:t xml:space="preserve"> que não é o do fornecedor do modelo. Por isso o desenho terá dois níveis de modelo.</w:t>
      </w:r>
    </w:p>
    <w:p>
      <w:pPr>
        <w:keepNext/>
        <w:spacing w:before="240" w:after="120" w:line="360" w:lineRule="auto"/>
        <w:ind w:left="0" w:firstLine="0"/>
        <w:jc w:val="left"/>
      </w:pPr>
      <w:r>
        <w:rPr>
          <w:b/>
          <w:bCs/>
          <w:sz w:val="24"/>
          <w:szCs w:val="24"/>
        </w:rPr>
        <w:t xml:space="preserve">3 MATERIAL E MÉTODO</w:t>
      </w:r>
    </w:p>
    <w:p>
      <w:pPr>
        <w:spacing w:before="0" w:after="0" w:line="360" w:lineRule="auto"/>
        <w:ind w:left="0" w:firstLine="709"/>
        <w:jc w:val="both"/>
      </w:pPr>
      <w:r>
        <w:rPr>
          <w:sz w:val="24"/>
          <w:szCs w:val="24"/>
        </w:rPr>
        <w:t xml:space="preserve">A pesquisa é aplicada quanto à finalidade, quali-quantitativa quanto à abordagem, exploratória quanto aos objetivos, experimental quanto aos procedimentos e dedutiva quanto ao método. É exploratória porque não se encontrou comparação publicada de </w:t>
      </w:r>
      <w:r>
        <w:rPr>
          <w:i/>
          <w:iCs/>
          <w:sz w:val="24"/>
          <w:szCs w:val="24"/>
        </w:rPr>
        <w:t xml:space="preserve">harnesses</w:t>
      </w:r>
      <w:r>
        <w:rPr>
          <w:sz w:val="24"/>
          <w:szCs w:val="24"/>
        </w:rPr>
        <w:t xml:space="preserve"> construindo o mesmo produto completo. O </w:t>
      </w:r>
      <w:r>
        <w:rPr>
          <w:i/>
          <w:iCs/>
          <w:sz w:val="24"/>
          <w:szCs w:val="24"/>
        </w:rPr>
        <w:t xml:space="preserve">harness</w:t>
      </w:r>
      <w:r>
        <w:rPr>
          <w:sz w:val="24"/>
          <w:szCs w:val="24"/>
        </w:rPr>
        <w:t xml:space="preserve"> é a variável manipulada, e modelo, especificação, espaço de trabalho inicial e limites ficam controlados.</w:t>
      </w:r>
    </w:p>
    <w:p>
      <w:pPr>
        <w:spacing w:before="0" w:after="0" w:line="360" w:lineRule="auto"/>
        <w:ind w:left="0" w:firstLine="709"/>
        <w:jc w:val="both"/>
      </w:pPr>
      <w:r>
        <w:rPr>
          <w:sz w:val="24"/>
          <w:szCs w:val="24"/>
        </w:rPr>
        <w:t xml:space="preserve">Declara-se o uso do Claude Code no levantamento das fontes, organizado pelo método </w:t>
      </w:r>
      <w:r>
        <w:rPr>
          <w:i/>
          <w:iCs/>
          <w:sz w:val="24"/>
          <w:szCs w:val="24"/>
        </w:rPr>
        <w:t xml:space="preserve">LLM Wiki</w:t>
      </w:r>
      <w:r>
        <w:rPr>
          <w:sz w:val="24"/>
          <w:szCs w:val="24"/>
        </w:rPr>
        <w:t xml:space="preserve"> de Karpathy (2026) no repositório do projeto (YuukiFST, 2026c), nas decisões do Finn, mapeadas com o Helmsman (YuukiFST, 2026a), e na sua versão de referência. O autor conferiu cada afirmação citada na obra e responde pelo texto e pelas decisões de produto.</w:t>
      </w:r>
    </w:p>
    <w:p>
      <w:pPr>
        <w:spacing w:before="0" w:after="0" w:line="360" w:lineRule="auto"/>
        <w:ind w:left="0" w:firstLine="709"/>
        <w:jc w:val="both"/>
      </w:pPr>
      <w:r>
        <w:rPr>
          <w:sz w:val="24"/>
          <w:szCs w:val="24"/>
        </w:rPr>
        <w:t xml:space="preserve">A medição terá duas camadas. A Camada 1 mede, contra um </w:t>
      </w:r>
      <w:r>
        <w:rPr>
          <w:i/>
          <w:iCs/>
          <w:sz w:val="24"/>
          <w:szCs w:val="24"/>
        </w:rPr>
        <w:t xml:space="preserve">endpoint</w:t>
      </w:r>
      <w:r>
        <w:rPr>
          <w:sz w:val="24"/>
          <w:szCs w:val="24"/>
        </w:rPr>
        <w:t xml:space="preserve"> simulado, os esquemas de ferramenta, o </w:t>
      </w:r>
      <w:r>
        <w:rPr>
          <w:i/>
          <w:iCs/>
          <w:sz w:val="24"/>
          <w:szCs w:val="24"/>
        </w:rPr>
        <w:t xml:space="preserve">system prompt</w:t>
      </w:r>
      <w:r>
        <w:rPr>
          <w:sz w:val="24"/>
          <w:szCs w:val="24"/>
        </w:rPr>
        <w:t xml:space="preserve"> e os tokens de cada requisição, ou seja, a carga fixa de cada </w:t>
      </w:r>
      <w:r>
        <w:rPr>
          <w:i/>
          <w:iCs/>
          <w:sz w:val="24"/>
          <w:szCs w:val="24"/>
        </w:rPr>
        <w:t xml:space="preserve">coding agent</w:t>
      </w:r>
      <w:r>
        <w:rPr>
          <w:sz w:val="24"/>
          <w:szCs w:val="24"/>
        </w:rPr>
        <w:t xml:space="preserve"> sem tarefa. A Camada 2 mede a construção contra o modelo real.</w:t>
      </w:r>
    </w:p>
    <w:p>
      <w:pPr>
        <w:spacing w:before="0" w:after="0" w:line="360" w:lineRule="auto"/>
        <w:ind w:left="0" w:firstLine="709"/>
        <w:jc w:val="both"/>
      </w:pPr>
      <w:r>
        <w:rPr>
          <w:sz w:val="24"/>
          <w:szCs w:val="24"/>
        </w:rPr>
        <w:t xml:space="preserve">Os </w:t>
      </w:r>
      <w:r>
        <w:rPr>
          <w:i/>
          <w:iCs/>
          <w:sz w:val="24"/>
          <w:szCs w:val="24"/>
        </w:rPr>
        <w:t xml:space="preserve">coding agents</w:t>
      </w:r>
      <w:r>
        <w:rPr>
          <w:sz w:val="24"/>
          <w:szCs w:val="24"/>
        </w:rPr>
        <w:t xml:space="preserve"> serão o OpenCode (Opencode, 2026a) e o Pi (Earendil, 2026). Os dois são de código aberto (Opencode, 2026a; Pan </w:t>
      </w:r>
      <w:r>
        <w:rPr>
          <w:i/>
          <w:iCs/>
          <w:sz w:val="24"/>
          <w:szCs w:val="24"/>
        </w:rPr>
        <w:t xml:space="preserve">et al.</w:t>
      </w:r>
      <w:r>
        <w:rPr>
          <w:sz w:val="24"/>
          <w:szCs w:val="24"/>
        </w:rPr>
        <w:t xml:space="preserve">, 2026). As versões serão fixadas e registradas no repositório (YuukiFST, 2026c). A coleta roda em um PC pessoal com NixOS, e a inferência usa o nível gratuito do </w:t>
      </w:r>
      <w:r>
        <w:rPr>
          <w:i/>
          <w:iCs/>
          <w:sz w:val="24"/>
          <w:szCs w:val="24"/>
        </w:rPr>
        <w:t xml:space="preserve">gateway</w:t>
      </w:r>
      <w:r>
        <w:rPr>
          <w:sz w:val="24"/>
          <w:szCs w:val="24"/>
        </w:rPr>
        <w:t xml:space="preserve">, sem custo financeiro.</w:t>
      </w:r>
    </w:p>
    <w:p>
      <w:pPr>
        <w:spacing w:before="0" w:after="0" w:line="360" w:lineRule="auto"/>
        <w:ind w:left="0" w:firstLine="709"/>
        <w:jc w:val="both"/>
      </w:pPr>
      <w:r>
        <w:rPr>
          <w:sz w:val="24"/>
          <w:szCs w:val="24"/>
        </w:rPr>
        <w:t xml:space="preserve">O produto será o Finn, SaaS multiempresa em que a empresa cliente fala com o próprio financeiro por voz e recebe lançamento, relatório e aviso no celular (YuukiFST, 2026b), decidido em 24 </w:t>
      </w:r>
      <w:r>
        <w:rPr>
          <w:i/>
          <w:iCs/>
          <w:sz w:val="24"/>
          <w:szCs w:val="24"/>
        </w:rPr>
        <w:t xml:space="preserve">tickets</w:t>
      </w:r>
      <w:r>
        <w:rPr>
          <w:sz w:val="24"/>
          <w:szCs w:val="24"/>
        </w:rPr>
        <w:t xml:space="preserve">. O autor construirá antes uma versão de referência e marcará no git o fim de cada etapa. Dela sairá a especificação, congelada por SHA-256: produto, pilha, interface dos testes e funcionalidades em JSON, no formato de Young (2025), uma unidade por etapa, ao menos seis. O executor chama o </w:t>
      </w:r>
      <w:r>
        <w:rPr>
          <w:i/>
          <w:iCs/>
          <w:sz w:val="24"/>
          <w:szCs w:val="24"/>
        </w:rPr>
        <w:t xml:space="preserve">harness</w:t>
      </w:r>
      <w:r>
        <w:rPr>
          <w:sz w:val="24"/>
          <w:szCs w:val="24"/>
        </w:rPr>
        <w:t xml:space="preserve"> uma vez por unidade, com o mesmo </w:t>
      </w:r>
      <w:r>
        <w:rPr>
          <w:i/>
          <w:iCs/>
          <w:sz w:val="24"/>
          <w:szCs w:val="24"/>
        </w:rPr>
        <w:t xml:space="preserve">prompt</w:t>
      </w:r>
      <w:r>
        <w:rPr>
          <w:sz w:val="24"/>
          <w:szCs w:val="24"/>
        </w:rPr>
        <w:t xml:space="preserve"> nos dois </w:t>
      </w:r>
      <w:r>
        <w:rPr>
          <w:i/>
          <w:iCs/>
          <w:sz w:val="24"/>
          <w:szCs w:val="24"/>
        </w:rPr>
        <w:t xml:space="preserve">coding agents</w:t>
      </w:r>
      <w:r>
        <w:rPr>
          <w:sz w:val="24"/>
          <w:szCs w:val="24"/>
        </w:rPr>
        <w:t xml:space="preserve">, e cada unidade parte do que o agente construiu na anterior. Nenhum código do autor entra no espaço de trabalho.</w:t>
      </w:r>
    </w:p>
    <w:p>
      <w:pPr>
        <w:spacing w:before="0" w:after="0" w:line="360" w:lineRule="auto"/>
        <w:ind w:left="0" w:firstLine="709"/>
        <w:jc w:val="both"/>
      </w:pPr>
      <w:r>
        <w:rPr>
          <w:sz w:val="24"/>
          <w:szCs w:val="24"/>
        </w:rPr>
        <w:t xml:space="preserve">A pontuação será a fração dos testes de aceitação aprovados. O autor escreverá os testes antes da execução, fora do espaço de trabalho, e os rodará sobre uma cópia dele ao fim de cada unidade. Todos devem passar antes na referência, no marco da etapa. Os testes escritos pelo agente não contam, e uma unidade conta como concluída quando todos os seus testes passam.</w:t>
      </w:r>
    </w:p>
    <w:p>
      <w:pPr>
        <w:spacing w:before="0" w:after="0" w:line="360" w:lineRule="auto"/>
        <w:ind w:left="0" w:firstLine="709"/>
        <w:jc w:val="both"/>
      </w:pPr>
      <w:r>
        <w:rPr>
          <w:sz w:val="24"/>
          <w:szCs w:val="24"/>
        </w:rPr>
        <w:t xml:space="preserve">Serão dois níveis de modelo, primário e de robustez, ambos gratuitos no mesmo </w:t>
      </w:r>
      <w:r>
        <w:rPr>
          <w:i/>
          <w:iCs/>
          <w:sz w:val="24"/>
          <w:szCs w:val="24"/>
        </w:rPr>
        <w:t xml:space="preserve">gateway</w:t>
      </w:r>
      <w:r>
        <w:rPr>
          <w:sz w:val="24"/>
          <w:szCs w:val="24"/>
        </w:rPr>
        <w:t xml:space="preserve"> (Opencode, 2026b), com resultados relatados por nível. Se a ordenação dos </w:t>
      </w:r>
      <w:r>
        <w:rPr>
          <w:i/>
          <w:iCs/>
          <w:sz w:val="24"/>
          <w:szCs w:val="24"/>
        </w:rPr>
        <w:t xml:space="preserve">coding agents</w:t>
      </w:r>
      <w:r>
        <w:rPr>
          <w:sz w:val="24"/>
          <w:szCs w:val="24"/>
        </w:rPr>
        <w:t xml:space="preserve"> inverter de um nível para o outro, a inversão será reportada como resultado.</w:t>
      </w:r>
    </w:p>
    <w:p>
      <w:pPr>
        <w:spacing w:before="0" w:after="0" w:line="360" w:lineRule="auto"/>
        <w:ind w:left="0" w:firstLine="709"/>
        <w:jc w:val="both"/>
      </w:pPr>
      <w:r>
        <w:rPr>
          <w:sz w:val="24"/>
          <w:szCs w:val="24"/>
        </w:rPr>
        <w:t xml:space="preserve">O </w:t>
      </w:r>
      <w:r>
        <w:rPr>
          <w:i/>
          <w:iCs/>
          <w:sz w:val="24"/>
          <w:szCs w:val="24"/>
        </w:rPr>
        <w:t xml:space="preserve">proxy</w:t>
      </w:r>
      <w:r>
        <w:rPr>
          <w:sz w:val="24"/>
          <w:szCs w:val="24"/>
        </w:rPr>
        <w:t xml:space="preserve"> guardará os tokens que o </w:t>
      </w:r>
      <w:r>
        <w:rPr>
          <w:i/>
          <w:iCs/>
          <w:sz w:val="24"/>
          <w:szCs w:val="24"/>
        </w:rPr>
        <w:t xml:space="preserve">gateway</w:t>
      </w:r>
      <w:r>
        <w:rPr>
          <w:sz w:val="24"/>
          <w:szCs w:val="24"/>
        </w:rPr>
        <w:t xml:space="preserve"> informa em cada resposta, com o cache à parte, e separará em cada requisição a carga fixa (</w:t>
      </w:r>
      <w:r>
        <w:rPr>
          <w:i/>
          <w:iCs/>
          <w:sz w:val="24"/>
          <w:szCs w:val="24"/>
        </w:rPr>
        <w:t xml:space="preserve">system prompt</w:t>
      </w:r>
      <w:r>
        <w:rPr>
          <w:sz w:val="24"/>
          <w:szCs w:val="24"/>
        </w:rPr>
        <w:t xml:space="preserve"> e ferramentas) do resto da conversa, para H2. A contagem do </w:t>
      </w:r>
      <w:r>
        <w:rPr>
          <w:i/>
          <w:iCs/>
          <w:sz w:val="24"/>
          <w:szCs w:val="24"/>
        </w:rPr>
        <w:t xml:space="preserve">harness</w:t>
      </w:r>
      <w:r>
        <w:rPr>
          <w:sz w:val="24"/>
          <w:szCs w:val="24"/>
        </w:rPr>
        <w:t xml:space="preserve"> serve só para verificação cruzada.</w:t>
      </w:r>
    </w:p>
    <w:p>
      <w:pPr>
        <w:spacing w:before="0" w:after="0" w:line="360" w:lineRule="auto"/>
        <w:ind w:left="0" w:firstLine="709"/>
        <w:jc w:val="both"/>
      </w:pPr>
      <w:r>
        <w:rPr>
          <w:sz w:val="24"/>
          <w:szCs w:val="24"/>
        </w:rPr>
        <w:t xml:space="preserve">Haverá um único limite, igual para os dois </w:t>
      </w:r>
      <w:r>
        <w:rPr>
          <w:i/>
          <w:iCs/>
          <w:sz w:val="24"/>
          <w:szCs w:val="24"/>
        </w:rPr>
        <w:t xml:space="preserve">coding agents</w:t>
      </w:r>
      <w:r>
        <w:rPr>
          <w:sz w:val="24"/>
          <w:szCs w:val="24"/>
        </w:rPr>
        <w:t xml:space="preserve">: tempo de relógio por unidade, de três vezes a maior mediana dos </w:t>
      </w:r>
      <w:r>
        <w:rPr>
          <w:i/>
          <w:iCs/>
          <w:sz w:val="24"/>
          <w:szCs w:val="24"/>
        </w:rPr>
        <w:t xml:space="preserve">coding agents</w:t>
      </w:r>
      <w:r>
        <w:rPr>
          <w:sz w:val="24"/>
          <w:szCs w:val="24"/>
        </w:rPr>
        <w:t xml:space="preserve"> nas unidades-piloto. O número de passos fica livre, porque um teto de passos é decisão de projeto de </w:t>
      </w:r>
      <w:r>
        <w:rPr>
          <w:i/>
          <w:iCs/>
          <w:sz w:val="24"/>
          <w:szCs w:val="24"/>
        </w:rPr>
        <w:t xml:space="preserve">harness</w:t>
      </w:r>
      <w:r>
        <w:rPr>
          <w:sz w:val="24"/>
          <w:szCs w:val="24"/>
        </w:rPr>
        <w:t xml:space="preserve"> e apagaria a diferença sob teste.</w:t>
      </w:r>
    </w:p>
    <w:p>
      <w:pPr>
        <w:spacing w:before="0" w:after="0" w:line="360" w:lineRule="auto"/>
        <w:ind w:left="0" w:firstLine="709"/>
        <w:jc w:val="both"/>
      </w:pPr>
      <w:r>
        <w:rPr>
          <w:sz w:val="24"/>
          <w:szCs w:val="24"/>
        </w:rPr>
        <w:t xml:space="preserve">Cada combinação de </w:t>
      </w:r>
      <w:r>
        <w:rPr>
          <w:i/>
          <w:iCs/>
          <w:sz w:val="24"/>
          <w:szCs w:val="24"/>
        </w:rPr>
        <w:t xml:space="preserve">coding agent</w:t>
      </w:r>
      <w:r>
        <w:rPr>
          <w:sz w:val="24"/>
          <w:szCs w:val="24"/>
        </w:rPr>
        <w:t xml:space="preserve"> e nível terá ao menos três construções completas válidas, relatadas em mediana e dispersão. A comparação usará o teste de Wilcoxon dos postos sinalizados, bilateral, α = 0,05, sobre tokens e Succ/Mtok, pareado por unidade. O pareamento remove a dificuldade comum aos dois </w:t>
      </w:r>
      <w:r>
        <w:rPr>
          <w:i/>
          <w:iCs/>
          <w:sz w:val="24"/>
          <w:szCs w:val="24"/>
        </w:rPr>
        <w:t xml:space="preserve">coding agents</w:t>
      </w:r>
      <w:r>
        <w:rPr>
          <w:sz w:val="24"/>
          <w:szCs w:val="24"/>
        </w:rPr>
        <w:t xml:space="preserve"> (Miller, 2024). O resultado principal será a razão entre as medianas de tokens por construção dos </w:t>
      </w:r>
      <w:r>
        <w:rPr>
          <w:i/>
          <w:iCs/>
          <w:sz w:val="24"/>
          <w:szCs w:val="24"/>
        </w:rPr>
        <w:t xml:space="preserve">coding agents</w:t>
      </w:r>
      <w:r>
        <w:rPr>
          <w:sz w:val="24"/>
          <w:szCs w:val="24"/>
        </w:rPr>
        <w:t xml:space="preserve">. A fração de testes aprovados será relatada sem teste, pois um empate em 100% não deixa diferença a testar. As predições serão registradas antes da coleta.</w:t>
      </w:r>
    </w:p>
    <w:p>
      <w:pPr>
        <w:spacing w:before="0" w:after="0" w:line="360" w:lineRule="auto"/>
        <w:ind w:left="0" w:firstLine="709"/>
        <w:jc w:val="both"/>
      </w:pPr>
      <w:r>
        <w:rPr>
          <w:sz w:val="24"/>
          <w:szCs w:val="24"/>
        </w:rPr>
        <w:t xml:space="preserve">Unidade não concluída conta como resultado, com a fração de testes aprovados, e a construção segue. Medição não confiável, como a troca do modelo servido no meio da coleta, descarta a construção inteira.</w:t>
      </w:r>
    </w:p>
    <w:p>
      <w:pPr>
        <w:keepNext/>
        <w:spacing w:before="240" w:after="120" w:line="360" w:lineRule="auto"/>
        <w:ind w:left="0" w:firstLine="0"/>
        <w:jc w:val="left"/>
      </w:pPr>
      <w:r>
        <w:rPr>
          <w:b/>
          <w:bCs/>
          <w:sz w:val="24"/>
          <w:szCs w:val="24"/>
        </w:rPr>
        <w:t xml:space="preserve">4 RESULTADOS E DISCUSSÃO</w:t>
      </w:r>
    </w:p>
    <w:p>
      <w:pPr>
        <w:spacing w:before="0" w:after="0" w:line="360" w:lineRule="auto"/>
        <w:ind w:left="0" w:firstLine="709"/>
        <w:jc w:val="both"/>
      </w:pPr>
      <w:r>
        <w:rPr>
          <w:sz w:val="24"/>
          <w:szCs w:val="24"/>
        </w:rPr>
        <w:t xml:space="preserve">A Camada 2 ainda não foi executada, pois depende do Finn de referência e dos testes de aceitação. Esta seção traz a Camada 1, medida em 28 de agosto de 2026 com o OpenCode 1.17.9 e o Pi 0.80.10 (YuukiFST, 2026c). Os dois receberam a mesma tarefa de sondagem, um </w:t>
      </w:r>
      <w:r>
        <w:rPr>
          <w:i/>
          <w:iCs/>
          <w:sz w:val="24"/>
          <w:szCs w:val="24"/>
        </w:rPr>
        <w:t xml:space="preserve">prompt</w:t>
      </w:r>
      <w:r>
        <w:rPr>
          <w:sz w:val="24"/>
          <w:szCs w:val="24"/>
        </w:rPr>
        <w:t xml:space="preserve"> de 83 bytes que pede para ler um arquivo curto e resumi-lo em uma frase, contra um </w:t>
      </w:r>
      <w:r>
        <w:rPr>
          <w:i/>
          <w:iCs/>
          <w:sz w:val="24"/>
          <w:szCs w:val="24"/>
        </w:rPr>
        <w:t xml:space="preserve">endpoint</w:t>
      </w:r>
      <w:r>
        <w:rPr>
          <w:sz w:val="24"/>
          <w:szCs w:val="24"/>
        </w:rPr>
        <w:t xml:space="preserve"> simulado e determinístico. Os tokens foram contados com o tokenizador cl100k_base, que serve para comparar os </w:t>
      </w:r>
      <w:r>
        <w:rPr>
          <w:i/>
          <w:iCs/>
          <w:sz w:val="24"/>
          <w:szCs w:val="24"/>
        </w:rPr>
        <w:t xml:space="preserve">coding agents</w:t>
      </w:r>
      <w:r>
        <w:rPr>
          <w:sz w:val="24"/>
          <w:szCs w:val="24"/>
        </w:rPr>
        <w:t xml:space="preserve"> entre si e não substitui a contagem do </w:t>
      </w:r>
      <w:r>
        <w:rPr>
          <w:i/>
          <w:iCs/>
          <w:sz w:val="24"/>
          <w:szCs w:val="24"/>
        </w:rPr>
        <w:t xml:space="preserve">gateway</w:t>
      </w:r>
      <w:r>
        <w:rPr>
          <w:sz w:val="24"/>
          <w:szCs w:val="24"/>
        </w:rPr>
        <w:t xml:space="preserve">.</w:t>
      </w:r>
    </w:p>
    <w:p>
      <w:pPr>
        <w:keepNext/>
        <w:spacing w:before="120" w:after="60" w:line="240" w:lineRule="auto"/>
        <w:ind w:left="0" w:firstLine="0"/>
        <w:jc w:val="center"/>
      </w:pPr>
      <w:r>
        <w:rPr>
          <w:sz w:val="20"/>
          <w:szCs w:val="20"/>
        </w:rPr>
        <w:t xml:space="preserve">Tabela 1 – Primeira requisição de cada </w:t>
      </w:r>
      <w:r>
        <w:rPr>
          <w:i/>
          <w:iCs/>
          <w:sz w:val="20"/>
          <w:szCs w:val="20"/>
        </w:rPr>
        <w:t xml:space="preserve">coding agent</w:t>
      </w:r>
      <w:r>
        <w:rPr>
          <w:sz w:val="20"/>
          <w:szCs w:val="20"/>
        </w:rPr>
        <w:t xml:space="preserve"> na Camada 1</w:t>
      </w:r>
    </w:p>
    <w:tbl>
      <w:tblPr>
        <w:tblW w:w="9071" w:type="dxa"/>
        <w:jc w:val="center"/>
        <w:tblLayout w:type="fixed"/>
        <w:tblCellMar>
          <w:left w:w="57" w:type="dxa"/>
          <w:right w:w="57" w:type="dxa"/>
        </w:tblCellMar>
      </w:tblPr>
      <w:tblGrid>
        <w:gridCol w:w="4271"/>
        <w:gridCol w:w="1800"/>
        <w:gridCol w:w="1800"/>
        <w:gridCol w:w="1200"/>
      </w:tblGrid>
      <w:tr>
        <w:trPr>
          <w:cantSplit/>
          <w:tblHeader/>
        </w:trPr>
        <w:tc>
          <w:tcPr>
            <w:tcW w:w="4271" w:type="dxa"/>
            <w:tcBorders>
              <w:top w:val="single" w:sz="8" w:space="0" w:color="000000"/>
              <w:bottom w:val="single" w:sz="8" w:space="0" w:color="000000"/>
            </w:tcBorders>
          </w:tcPr>
          <w:p>
            <w:pPr>
              <w:keepNext/>
              <w:spacing w:before="0" w:after="0" w:line="240" w:lineRule="auto"/>
              <w:ind w:left="0" w:firstLine="0"/>
              <w:jc w:val="left"/>
            </w:pPr>
            <w:r>
              <w:rPr>
                <w:b/>
                <w:bCs/>
                <w:sz w:val="20"/>
                <w:szCs w:val="20"/>
              </w:rPr>
              <w:t xml:space="preserve">Medida</w:t>
            </w:r>
          </w:p>
        </w:tc>
        <w:tc>
          <w:tcPr>
            <w:tcW w:w="1800" w:type="dxa"/>
            <w:tcBorders>
              <w:top w:val="single" w:sz="8" w:space="0" w:color="000000"/>
              <w:bottom w:val="single" w:sz="8" w:space="0" w:color="000000"/>
            </w:tcBorders>
          </w:tcPr>
          <w:p>
            <w:pPr>
              <w:keepNext/>
              <w:spacing w:before="0" w:after="0" w:line="240" w:lineRule="auto"/>
              <w:ind w:left="0" w:firstLine="0"/>
              <w:jc w:val="center"/>
            </w:pPr>
            <w:r>
              <w:rPr>
                <w:b/>
                <w:bCs/>
                <w:sz w:val="20"/>
                <w:szCs w:val="20"/>
              </w:rPr>
              <w:t xml:space="preserve">OpenCode 1.17.9</w:t>
            </w:r>
          </w:p>
        </w:tc>
        <w:tc>
          <w:tcPr>
            <w:tcW w:w="1800" w:type="dxa"/>
            <w:tcBorders>
              <w:top w:val="single" w:sz="8" w:space="0" w:color="000000"/>
              <w:bottom w:val="single" w:sz="8" w:space="0" w:color="000000"/>
            </w:tcBorders>
          </w:tcPr>
          <w:p>
            <w:pPr>
              <w:keepNext/>
              <w:spacing w:before="0" w:after="0" w:line="240" w:lineRule="auto"/>
              <w:ind w:left="0" w:firstLine="0"/>
              <w:jc w:val="center"/>
            </w:pPr>
            <w:r>
              <w:rPr>
                <w:b/>
                <w:bCs/>
                <w:sz w:val="20"/>
                <w:szCs w:val="20"/>
              </w:rPr>
              <w:t xml:space="preserve">Pi 0.80.10</w:t>
            </w:r>
          </w:p>
        </w:tc>
        <w:tc>
          <w:tcPr>
            <w:tcW w:w="1200" w:type="dxa"/>
            <w:tcBorders>
              <w:top w:val="single" w:sz="8" w:space="0" w:color="000000"/>
              <w:bottom w:val="single" w:sz="8" w:space="0" w:color="000000"/>
            </w:tcBorders>
          </w:tcPr>
          <w:p>
            <w:pPr>
              <w:keepNext/>
              <w:spacing w:before="0" w:after="0" w:line="240" w:lineRule="auto"/>
              <w:ind w:left="0" w:firstLine="0"/>
              <w:jc w:val="center"/>
            </w:pPr>
            <w:r>
              <w:rPr>
                <w:b/>
                <w:bCs/>
                <w:sz w:val="20"/>
                <w:szCs w:val="20"/>
              </w:rPr>
              <w:t xml:space="preserve">Razão</w:t>
            </w:r>
          </w:p>
        </w:tc>
      </w:tr>
      <w:tr>
        <w:trPr>
          <w:cantSplit/>
        </w:trPr>
        <w:tc>
          <w:tcPr>
            <w:tcW w:w="4271" w:type="dxa"/>
          </w:tcPr>
          <w:p>
            <w:pPr>
              <w:keepNext/>
              <w:spacing w:before="0" w:after="0" w:line="240" w:lineRule="auto"/>
              <w:ind w:left="0" w:firstLine="0"/>
              <w:jc w:val="left"/>
            </w:pPr>
            <w:r>
              <w:rPr>
                <w:sz w:val="20"/>
                <w:szCs w:val="20"/>
              </w:rPr>
              <w:t xml:space="preserve">Esquemas de ferramenta (quantidade)</w:t>
            </w:r>
          </w:p>
        </w:tc>
        <w:tc>
          <w:tcPr>
            <w:tcW w:w="1800" w:type="dxa"/>
          </w:tcPr>
          <w:p>
            <w:pPr>
              <w:keepNext/>
              <w:spacing w:before="0" w:after="0" w:line="240" w:lineRule="auto"/>
              <w:ind w:left="0" w:firstLine="0"/>
              <w:jc w:val="center"/>
            </w:pPr>
            <w:r>
              <w:rPr>
                <w:sz w:val="20"/>
                <w:szCs w:val="20"/>
              </w:rPr>
              <w:t xml:space="preserve">9</w:t>
            </w:r>
          </w:p>
        </w:tc>
        <w:tc>
          <w:tcPr>
            <w:tcW w:w="1800" w:type="dxa"/>
          </w:tcPr>
          <w:p>
            <w:pPr>
              <w:keepNext/>
              <w:spacing w:before="0" w:after="0" w:line="240" w:lineRule="auto"/>
              <w:ind w:left="0" w:firstLine="0"/>
              <w:jc w:val="center"/>
            </w:pPr>
            <w:r>
              <w:rPr>
                <w:sz w:val="20"/>
                <w:szCs w:val="20"/>
              </w:rPr>
              <w:t xml:space="preserve">4</w:t>
            </w:r>
          </w:p>
        </w:tc>
        <w:tc>
          <w:tcPr>
            <w:tcW w:w="1200" w:type="dxa"/>
          </w:tcPr>
          <w:p>
            <w:pPr>
              <w:keepNext/>
              <w:spacing w:before="0" w:after="0" w:line="240" w:lineRule="auto"/>
              <w:ind w:left="0" w:firstLine="0"/>
              <w:jc w:val="center"/>
            </w:pPr>
            <w:r>
              <w:rPr>
                <w:sz w:val="20"/>
                <w:szCs w:val="20"/>
              </w:rPr>
              <w:t xml:space="preserve">2,3</w:t>
            </w:r>
          </w:p>
        </w:tc>
      </w:tr>
      <w:tr>
        <w:trPr>
          <w:cantSplit/>
        </w:trPr>
        <w:tc>
          <w:tcPr>
            <w:tcW w:w="4271" w:type="dxa"/>
          </w:tcPr>
          <w:p>
            <w:pPr>
              <w:keepNext/>
              <w:spacing w:before="0" w:after="0" w:line="240" w:lineRule="auto"/>
              <w:ind w:left="0" w:firstLine="0"/>
              <w:jc w:val="left"/>
            </w:pPr>
            <w:r>
              <w:rPr>
                <w:sz w:val="20"/>
                <w:szCs w:val="20"/>
              </w:rPr>
              <w:t xml:space="preserve">Bytes dos esquemas de ferramenta</w:t>
            </w:r>
          </w:p>
        </w:tc>
        <w:tc>
          <w:tcPr>
            <w:tcW w:w="1800" w:type="dxa"/>
          </w:tcPr>
          <w:p>
            <w:pPr>
              <w:keepNext/>
              <w:spacing w:before="0" w:after="0" w:line="240" w:lineRule="auto"/>
              <w:ind w:left="0" w:firstLine="0"/>
              <w:jc w:val="center"/>
            </w:pPr>
            <w:r>
              <w:rPr>
                <w:sz w:val="20"/>
                <w:szCs w:val="20"/>
              </w:rPr>
              <w:t xml:space="preserve">20.007</w:t>
            </w:r>
          </w:p>
        </w:tc>
        <w:tc>
          <w:tcPr>
            <w:tcW w:w="1800" w:type="dxa"/>
          </w:tcPr>
          <w:p>
            <w:pPr>
              <w:keepNext/>
              <w:spacing w:before="0" w:after="0" w:line="240" w:lineRule="auto"/>
              <w:ind w:left="0" w:firstLine="0"/>
              <w:jc w:val="center"/>
            </w:pPr>
            <w:r>
              <w:rPr>
                <w:sz w:val="20"/>
                <w:szCs w:val="20"/>
              </w:rPr>
              <w:t xml:space="preserve">2.900</w:t>
            </w:r>
          </w:p>
        </w:tc>
        <w:tc>
          <w:tcPr>
            <w:tcW w:w="1200" w:type="dxa"/>
          </w:tcPr>
          <w:p>
            <w:pPr>
              <w:keepNext/>
              <w:spacing w:before="0" w:after="0" w:line="240" w:lineRule="auto"/>
              <w:ind w:left="0" w:firstLine="0"/>
              <w:jc w:val="center"/>
            </w:pPr>
            <w:r>
              <w:rPr>
                <w:sz w:val="20"/>
                <w:szCs w:val="20"/>
              </w:rPr>
              <w:t xml:space="preserve">6,9</w:t>
            </w:r>
          </w:p>
        </w:tc>
      </w:tr>
      <w:tr>
        <w:trPr>
          <w:cantSplit/>
        </w:trPr>
        <w:tc>
          <w:tcPr>
            <w:tcW w:w="4271" w:type="dxa"/>
          </w:tcPr>
          <w:p>
            <w:pPr>
              <w:keepNext/>
              <w:spacing w:before="0" w:after="0" w:line="240" w:lineRule="auto"/>
              <w:ind w:left="0" w:firstLine="0"/>
              <w:jc w:val="left"/>
            </w:pPr>
            <w:r>
              <w:rPr>
                <w:sz w:val="20"/>
                <w:szCs w:val="20"/>
              </w:rPr>
              <w:t xml:space="preserve">Bytes do </w:t>
            </w:r>
            <w:r>
              <w:rPr>
                <w:i/>
                <w:iCs/>
                <w:sz w:val="20"/>
                <w:szCs w:val="20"/>
              </w:rPr>
              <w:t xml:space="preserve">system prompt</w:t>
            </w:r>
          </w:p>
        </w:tc>
        <w:tc>
          <w:tcPr>
            <w:tcW w:w="1800" w:type="dxa"/>
          </w:tcPr>
          <w:p>
            <w:pPr>
              <w:keepNext/>
              <w:spacing w:before="0" w:after="0" w:line="240" w:lineRule="auto"/>
              <w:ind w:left="0" w:firstLine="0"/>
              <w:jc w:val="center"/>
            </w:pPr>
            <w:r>
              <w:rPr>
                <w:sz w:val="20"/>
                <w:szCs w:val="20"/>
              </w:rPr>
              <w:t xml:space="preserve">9.738</w:t>
            </w:r>
          </w:p>
        </w:tc>
        <w:tc>
          <w:tcPr>
            <w:tcW w:w="1800" w:type="dxa"/>
          </w:tcPr>
          <w:p>
            <w:pPr>
              <w:keepNext/>
              <w:spacing w:before="0" w:after="0" w:line="240" w:lineRule="auto"/>
              <w:ind w:left="0" w:firstLine="0"/>
              <w:jc w:val="center"/>
            </w:pPr>
            <w:r>
              <w:rPr>
                <w:sz w:val="20"/>
                <w:szCs w:val="20"/>
              </w:rPr>
              <w:t xml:space="preserve">2.499</w:t>
            </w:r>
          </w:p>
        </w:tc>
        <w:tc>
          <w:tcPr>
            <w:tcW w:w="1200" w:type="dxa"/>
          </w:tcPr>
          <w:p>
            <w:pPr>
              <w:keepNext/>
              <w:spacing w:before="0" w:after="0" w:line="240" w:lineRule="auto"/>
              <w:ind w:left="0" w:firstLine="0"/>
              <w:jc w:val="center"/>
            </w:pPr>
            <w:r>
              <w:rPr>
                <w:sz w:val="20"/>
                <w:szCs w:val="20"/>
              </w:rPr>
              <w:t xml:space="preserve">3,9</w:t>
            </w:r>
          </w:p>
        </w:tc>
      </w:tr>
      <w:tr>
        <w:trPr>
          <w:cantSplit/>
        </w:trPr>
        <w:tc>
          <w:tcPr>
            <w:tcW w:w="4271" w:type="dxa"/>
          </w:tcPr>
          <w:p>
            <w:pPr>
              <w:keepNext/>
              <w:spacing w:before="0" w:after="0" w:line="240" w:lineRule="auto"/>
              <w:ind w:left="0" w:firstLine="0"/>
              <w:jc w:val="left"/>
            </w:pPr>
            <w:r>
              <w:rPr>
                <w:sz w:val="20"/>
                <w:szCs w:val="20"/>
              </w:rPr>
              <w:t xml:space="preserve">Bytes da conversa</w:t>
            </w:r>
          </w:p>
        </w:tc>
        <w:tc>
          <w:tcPr>
            <w:tcW w:w="1800" w:type="dxa"/>
          </w:tcPr>
          <w:p>
            <w:pPr>
              <w:keepNext/>
              <w:spacing w:before="0" w:after="0" w:line="240" w:lineRule="auto"/>
              <w:ind w:left="0" w:firstLine="0"/>
              <w:jc w:val="center"/>
            </w:pPr>
            <w:r>
              <w:rPr>
                <w:sz w:val="20"/>
                <w:szCs w:val="20"/>
              </w:rPr>
              <w:t xml:space="preserve">114</w:t>
            </w:r>
          </w:p>
        </w:tc>
        <w:tc>
          <w:tcPr>
            <w:tcW w:w="1800" w:type="dxa"/>
          </w:tcPr>
          <w:p>
            <w:pPr>
              <w:keepNext/>
              <w:spacing w:before="0" w:after="0" w:line="240" w:lineRule="auto"/>
              <w:ind w:left="0" w:firstLine="0"/>
              <w:jc w:val="center"/>
            </w:pPr>
            <w:r>
              <w:rPr>
                <w:sz w:val="20"/>
                <w:szCs w:val="20"/>
              </w:rPr>
              <w:t xml:space="preserve">135</w:t>
            </w:r>
          </w:p>
        </w:tc>
        <w:tc>
          <w:tcPr>
            <w:tcW w:w="1200" w:type="dxa"/>
          </w:tcPr>
          <w:p>
            <w:pPr>
              <w:keepNext/>
              <w:spacing w:before="0" w:after="0" w:line="240" w:lineRule="auto"/>
              <w:ind w:left="0" w:firstLine="0"/>
              <w:jc w:val="center"/>
            </w:pPr>
            <w:r>
              <w:rPr>
                <w:sz w:val="20"/>
                <w:szCs w:val="20"/>
              </w:rPr>
              <w:t xml:space="preserve">0,8</w:t>
            </w:r>
          </w:p>
        </w:tc>
      </w:tr>
      <w:tr>
        <w:trPr>
          <w:cantSplit/>
        </w:trPr>
        <w:tc>
          <w:tcPr>
            <w:tcW w:w="4271" w:type="dxa"/>
          </w:tcPr>
          <w:p>
            <w:pPr>
              <w:keepNext/>
              <w:spacing w:before="0" w:after="0" w:line="240" w:lineRule="auto"/>
              <w:ind w:left="0" w:firstLine="0"/>
              <w:jc w:val="left"/>
            </w:pPr>
            <w:r>
              <w:rPr>
                <w:sz w:val="20"/>
                <w:szCs w:val="20"/>
              </w:rPr>
              <w:t xml:space="preserve">Bytes do envelope da requisição</w:t>
            </w:r>
          </w:p>
        </w:tc>
        <w:tc>
          <w:tcPr>
            <w:tcW w:w="1800" w:type="dxa"/>
          </w:tcPr>
          <w:p>
            <w:pPr>
              <w:keepNext/>
              <w:spacing w:before="0" w:after="0" w:line="240" w:lineRule="auto"/>
              <w:ind w:left="0" w:firstLine="0"/>
              <w:jc w:val="center"/>
            </w:pPr>
            <w:r>
              <w:rPr>
                <w:sz w:val="20"/>
                <w:szCs w:val="20"/>
              </w:rPr>
              <w:t xml:space="preserve">138</w:t>
            </w:r>
          </w:p>
        </w:tc>
        <w:tc>
          <w:tcPr>
            <w:tcW w:w="1800" w:type="dxa"/>
          </w:tcPr>
          <w:p>
            <w:pPr>
              <w:keepNext/>
              <w:spacing w:before="0" w:after="0" w:line="240" w:lineRule="auto"/>
              <w:ind w:left="0" w:firstLine="0"/>
              <w:jc w:val="center"/>
            </w:pPr>
            <w:r>
              <w:rPr>
                <w:sz w:val="20"/>
                <w:szCs w:val="20"/>
              </w:rPr>
              <w:t xml:space="preserve">142</w:t>
            </w:r>
          </w:p>
        </w:tc>
        <w:tc>
          <w:tcPr>
            <w:tcW w:w="1200" w:type="dxa"/>
          </w:tcPr>
          <w:p>
            <w:pPr>
              <w:keepNext/>
              <w:spacing w:before="0" w:after="0" w:line="240" w:lineRule="auto"/>
              <w:ind w:left="0" w:firstLine="0"/>
              <w:jc w:val="center"/>
            </w:pPr>
            <w:r>
              <w:rPr>
                <w:sz w:val="20"/>
                <w:szCs w:val="20"/>
              </w:rPr>
              <w:t xml:space="preserve">1,0</w:t>
            </w:r>
          </w:p>
        </w:tc>
      </w:tr>
      <w:tr>
        <w:trPr>
          <w:cantSplit/>
        </w:trPr>
        <w:tc>
          <w:tcPr>
            <w:tcW w:w="4271" w:type="dxa"/>
          </w:tcPr>
          <w:p>
            <w:pPr>
              <w:keepNext/>
              <w:spacing w:before="0" w:after="0" w:line="240" w:lineRule="auto"/>
              <w:ind w:left="0" w:firstLine="0"/>
              <w:jc w:val="left"/>
            </w:pPr>
            <w:r>
              <w:rPr>
                <w:sz w:val="20"/>
                <w:szCs w:val="20"/>
              </w:rPr>
              <w:t xml:space="preserve">Total de bytes</w:t>
            </w:r>
          </w:p>
        </w:tc>
        <w:tc>
          <w:tcPr>
            <w:tcW w:w="1800" w:type="dxa"/>
          </w:tcPr>
          <w:p>
            <w:pPr>
              <w:keepNext/>
              <w:spacing w:before="0" w:after="0" w:line="240" w:lineRule="auto"/>
              <w:ind w:left="0" w:firstLine="0"/>
              <w:jc w:val="center"/>
            </w:pPr>
            <w:r>
              <w:rPr>
                <w:sz w:val="20"/>
                <w:szCs w:val="20"/>
              </w:rPr>
              <w:t xml:space="preserve">29.997</w:t>
            </w:r>
          </w:p>
        </w:tc>
        <w:tc>
          <w:tcPr>
            <w:tcW w:w="1800" w:type="dxa"/>
          </w:tcPr>
          <w:p>
            <w:pPr>
              <w:keepNext/>
              <w:spacing w:before="0" w:after="0" w:line="240" w:lineRule="auto"/>
              <w:ind w:left="0" w:firstLine="0"/>
              <w:jc w:val="center"/>
            </w:pPr>
            <w:r>
              <w:rPr>
                <w:sz w:val="20"/>
                <w:szCs w:val="20"/>
              </w:rPr>
              <w:t xml:space="preserve">5.676</w:t>
            </w:r>
          </w:p>
        </w:tc>
        <w:tc>
          <w:tcPr>
            <w:tcW w:w="1200" w:type="dxa"/>
          </w:tcPr>
          <w:p>
            <w:pPr>
              <w:keepNext/>
              <w:spacing w:before="0" w:after="0" w:line="240" w:lineRule="auto"/>
              <w:ind w:left="0" w:firstLine="0"/>
              <w:jc w:val="center"/>
            </w:pPr>
            <w:r>
              <w:rPr>
                <w:sz w:val="20"/>
                <w:szCs w:val="20"/>
              </w:rPr>
              <w:t xml:space="preserve">5,3</w:t>
            </w:r>
          </w:p>
        </w:tc>
      </w:tr>
      <w:tr>
        <w:trPr>
          <w:cantSplit/>
        </w:trPr>
        <w:tc>
          <w:tcPr>
            <w:tcW w:w="4271" w:type="dxa"/>
            <w:tcBorders>
              <w:bottom w:val="single" w:sz="8" w:space="0" w:color="000000"/>
            </w:tcBorders>
          </w:tcPr>
          <w:p>
            <w:pPr>
              <w:spacing w:before="0" w:after="0" w:line="240" w:lineRule="auto"/>
              <w:ind w:left="0" w:firstLine="0"/>
              <w:jc w:val="left"/>
            </w:pPr>
            <w:r>
              <w:rPr>
                <w:sz w:val="20"/>
                <w:szCs w:val="20"/>
              </w:rPr>
              <w:t xml:space="preserve">Tokens (cl100k_base)</w:t>
            </w:r>
          </w:p>
        </w:tc>
        <w:tc>
          <w:tcPr>
            <w:tcW w:w="1800" w:type="dxa"/>
            <w:tcBorders>
              <w:bottom w:val="single" w:sz="8" w:space="0" w:color="000000"/>
            </w:tcBorders>
          </w:tcPr>
          <w:p>
            <w:pPr>
              <w:spacing w:before="0" w:after="0" w:line="240" w:lineRule="auto"/>
              <w:ind w:left="0" w:firstLine="0"/>
              <w:jc w:val="center"/>
            </w:pPr>
            <w:r>
              <w:rPr>
                <w:sz w:val="20"/>
                <w:szCs w:val="20"/>
              </w:rPr>
              <w:t xml:space="preserve">6.659</w:t>
            </w:r>
          </w:p>
        </w:tc>
        <w:tc>
          <w:tcPr>
            <w:tcW w:w="1800" w:type="dxa"/>
            <w:tcBorders>
              <w:bottom w:val="single" w:sz="8" w:space="0" w:color="000000"/>
            </w:tcBorders>
          </w:tcPr>
          <w:p>
            <w:pPr>
              <w:spacing w:before="0" w:after="0" w:line="240" w:lineRule="auto"/>
              <w:ind w:left="0" w:firstLine="0"/>
              <w:jc w:val="center"/>
            </w:pPr>
            <w:r>
              <w:rPr>
                <w:sz w:val="20"/>
                <w:szCs w:val="20"/>
              </w:rPr>
              <w:t xml:space="preserve">1.228</w:t>
            </w:r>
          </w:p>
        </w:tc>
        <w:tc>
          <w:tcPr>
            <w:tcW w:w="1200" w:type="dxa"/>
            <w:tcBorders>
              <w:bottom w:val="single" w:sz="8" w:space="0" w:color="000000"/>
            </w:tcBorders>
          </w:tcPr>
          <w:p>
            <w:pPr>
              <w:spacing w:before="0" w:after="0" w:line="240" w:lineRule="auto"/>
              <w:ind w:left="0" w:firstLine="0"/>
              <w:jc w:val="center"/>
            </w:pPr>
            <w:r>
              <w:rPr>
                <w:sz w:val="20"/>
                <w:szCs w:val="20"/>
              </w:rPr>
              <w:t xml:space="preserve">5,4</w:t>
            </w:r>
          </w:p>
        </w:tc>
      </w:tr>
    </w:tbl>
    <w:p>
      <w:pPr>
        <w:spacing w:before="60" w:after="120" w:line="240" w:lineRule="auto"/>
        <w:ind w:left="0" w:firstLine="0"/>
        <w:jc w:val="left"/>
      </w:pPr>
      <w:r>
        <w:rPr>
          <w:sz w:val="20"/>
          <w:szCs w:val="20"/>
        </w:rPr>
        <w:t xml:space="preserve">Fonte: elaborado pelo autor com dados de YuukiFST (2026c).</w:t>
      </w:r>
    </w:p>
    <w:p>
      <w:pPr>
        <w:spacing w:before="0" w:after="0" w:line="360" w:lineRule="auto"/>
        <w:ind w:left="0" w:firstLine="709"/>
        <w:jc w:val="both"/>
      </w:pPr>
      <w:r>
        <w:rPr>
          <w:sz w:val="24"/>
          <w:szCs w:val="24"/>
        </w:rPr>
        <w:t xml:space="preserve">Antes de fazer qualquer trabalho, o OpenCode envia cerca de cinco vezes os tokens do Pi (Tabela 1). Os esquemas de ferramenta e o </w:t>
      </w:r>
      <w:r>
        <w:rPr>
          <w:i/>
          <w:iCs/>
          <w:sz w:val="24"/>
          <w:szCs w:val="24"/>
        </w:rPr>
        <w:t xml:space="preserve">system prompt</w:t>
      </w:r>
      <w:r>
        <w:rPr>
          <w:sz w:val="24"/>
          <w:szCs w:val="24"/>
        </w:rPr>
        <w:t xml:space="preserve"> somam 99,2% dos bytes do OpenCode e 95,1% dos do Pi. A conversa, a única parte que vem da tarefa, tem quase o mesmo tamanho nos dois.</w:t>
      </w:r>
    </w:p>
    <w:p>
      <w:pPr>
        <w:spacing w:before="0" w:after="0" w:line="360" w:lineRule="auto"/>
        <w:ind w:left="0" w:firstLine="709"/>
        <w:jc w:val="both"/>
      </w:pPr>
      <w:r>
        <w:rPr>
          <w:sz w:val="24"/>
          <w:szCs w:val="24"/>
        </w:rPr>
        <w:t xml:space="preserve">Nos cinco primeiros passos, os dois reenviam o histórico inteiro, e cada passo acrescenta um valor constante: 698 bytes no OpenCode e 555 no Pi. No quinto passo, a requisição do OpenCode tem 32.789 bytes e a do Pi, 7.896. Da diferença de 24.893 bytes, 97,7% já estava na primeira requisição, ou seja, vem da carga fixa e se repete a cada passo.</w:t>
      </w:r>
    </w:p>
    <w:p>
      <w:pPr>
        <w:spacing w:before="0" w:after="0" w:line="360" w:lineRule="auto"/>
        <w:ind w:left="0" w:firstLine="709"/>
        <w:jc w:val="both"/>
      </w:pPr>
      <w:r>
        <w:rPr>
          <w:sz w:val="24"/>
          <w:szCs w:val="24"/>
        </w:rPr>
        <w:t xml:space="preserve">O OpenCode faz ainda uma chamada ao modelo sem ferramentas, de 2.526 bytes, para gerar o título da sessão antes da tarefa. Essa chamada não aparece no relato do próprio </w:t>
      </w:r>
      <w:r>
        <w:rPr>
          <w:i/>
          <w:iCs/>
          <w:sz w:val="24"/>
          <w:szCs w:val="24"/>
        </w:rPr>
        <w:t xml:space="preserve">harness</w:t>
      </w:r>
      <w:r>
        <w:rPr>
          <w:sz w:val="24"/>
          <w:szCs w:val="24"/>
        </w:rPr>
        <w:t xml:space="preserve">. Chamadas assim são o motivo de o objetivo (5) comparar a contagem do </w:t>
      </w:r>
      <w:r>
        <w:rPr>
          <w:i/>
          <w:iCs/>
          <w:sz w:val="24"/>
          <w:szCs w:val="24"/>
        </w:rPr>
        <w:t xml:space="preserve">proxy</w:t>
      </w:r>
      <w:r>
        <w:rPr>
          <w:sz w:val="24"/>
          <w:szCs w:val="24"/>
        </w:rPr>
        <w:t xml:space="preserve"> com o relato de cada </w:t>
      </w:r>
      <w:r>
        <w:rPr>
          <w:i/>
          <w:iCs/>
          <w:sz w:val="24"/>
          <w:szCs w:val="24"/>
        </w:rPr>
        <w:t xml:space="preserve">harness</w:t>
      </w:r>
      <w:r>
        <w:rPr>
          <w:sz w:val="24"/>
          <w:szCs w:val="24"/>
        </w:rPr>
        <w:t xml:space="preserve">.</w:t>
      </w:r>
    </w:p>
    <w:p>
      <w:pPr>
        <w:spacing w:before="0" w:after="0" w:line="360" w:lineRule="auto"/>
        <w:ind w:left="0" w:firstLine="709"/>
        <w:jc w:val="both"/>
      </w:pPr>
      <w:r>
        <w:rPr>
          <w:sz w:val="24"/>
          <w:szCs w:val="24"/>
        </w:rPr>
        <w:t xml:space="preserve">Os números concordam com Pan </w:t>
      </w:r>
      <w:r>
        <w:rPr>
          <w:i/>
          <w:iCs/>
          <w:sz w:val="24"/>
          <w:szCs w:val="24"/>
        </w:rPr>
        <w:t xml:space="preserve">et al.</w:t>
      </w:r>
      <w:r>
        <w:rPr>
          <w:sz w:val="24"/>
          <w:szCs w:val="24"/>
        </w:rPr>
        <w:t xml:space="preserve"> (2026), para quem o imposto do </w:t>
      </w:r>
      <w:r>
        <w:rPr>
          <w:i/>
          <w:iCs/>
          <w:sz w:val="24"/>
          <w:szCs w:val="24"/>
        </w:rPr>
        <w:t xml:space="preserve">harness</w:t>
      </w:r>
      <w:r>
        <w:rPr>
          <w:sz w:val="24"/>
          <w:szCs w:val="24"/>
        </w:rPr>
        <w:t xml:space="preserve"> pode começar na primeira requisição, e são compatíveis com H2. Eles ainda não testam H2. A Camada 1 tem uma única tarefa curta, sem modelo real, e o número de passos de uma construção pode ser outro. Se os dois </w:t>
      </w:r>
      <w:r>
        <w:rPr>
          <w:i/>
          <w:iCs/>
          <w:sz w:val="24"/>
          <w:szCs w:val="24"/>
        </w:rPr>
        <w:t xml:space="preserve">coding agents</w:t>
      </w:r>
      <w:r>
        <w:rPr>
          <w:sz w:val="24"/>
          <w:szCs w:val="24"/>
        </w:rPr>
        <w:t xml:space="preserve"> precisarem de números de passos parecidos, a carga fixa deve responder pela maior parte da diferença de tokens. Se o Pi precisar de muito mais passos, a vantagem inicial pode se perder. Furgale </w:t>
      </w:r>
      <w:r>
        <w:rPr>
          <w:i/>
          <w:iCs/>
          <w:sz w:val="24"/>
          <w:szCs w:val="24"/>
        </w:rPr>
        <w:t xml:space="preserve">et al.</w:t>
      </w:r>
      <w:r>
        <w:rPr>
          <w:sz w:val="24"/>
          <w:szCs w:val="24"/>
        </w:rPr>
        <w:t xml:space="preserve"> (2026) registraram esse caso no SWE-bench Verified com o GPT-5.5 (esforço xhigh). O Pi 0.72.1 fez 66 chamadas e gastou 2,2 milhões de tokens por tarefa para 78,2% de acerto, e o OpenCode 1.14.33, 1,3 milhão para 78,6%.</w:t>
      </w:r>
    </w:p>
    <w:p>
      <w:pPr>
        <w:keepNext/>
        <w:spacing w:before="240" w:after="120" w:line="360" w:lineRule="auto"/>
        <w:ind w:left="0" w:firstLine="0"/>
        <w:jc w:val="left"/>
      </w:pPr>
      <w:r>
        <w:rPr>
          <w:b/>
          <w:bCs/>
          <w:sz w:val="24"/>
          <w:szCs w:val="24"/>
        </w:rPr>
        <w:t xml:space="preserve">5 CONSIDERAÇÕES FINAIS</w:t>
      </w:r>
    </w:p>
    <w:p>
      <w:pPr>
        <w:spacing w:before="0" w:after="0" w:line="360" w:lineRule="auto"/>
        <w:ind w:left="0" w:firstLine="709"/>
        <w:jc w:val="both"/>
      </w:pPr>
      <w:r>
        <w:rPr>
          <w:sz w:val="24"/>
          <w:szCs w:val="24"/>
        </w:rPr>
        <w:t xml:space="preserve">Este trabalho partiu da constatação de que, com o mesmo modelo, o </w:t>
      </w:r>
      <w:r>
        <w:rPr>
          <w:i/>
          <w:iCs/>
          <w:sz w:val="24"/>
          <w:szCs w:val="24"/>
        </w:rPr>
        <w:t xml:space="preserve">harness</w:t>
      </w:r>
      <w:r>
        <w:rPr>
          <w:sz w:val="24"/>
          <w:szCs w:val="24"/>
        </w:rPr>
        <w:t xml:space="preserve"> pode mudar o custo de um </w:t>
      </w:r>
      <w:r>
        <w:rPr>
          <w:i/>
          <w:iCs/>
          <w:sz w:val="24"/>
          <w:szCs w:val="24"/>
        </w:rPr>
        <w:t xml:space="preserve">coding agent</w:t>
      </w:r>
      <w:r>
        <w:rPr>
          <w:sz w:val="24"/>
          <w:szCs w:val="24"/>
        </w:rPr>
        <w:t xml:space="preserve"> sem mudar muito a taxa de sucesso, e de que as medições disponíveis usam tarefas isoladas de </w:t>
      </w:r>
      <w:r>
        <w:rPr>
          <w:i/>
          <w:iCs/>
          <w:sz w:val="24"/>
          <w:szCs w:val="24"/>
        </w:rPr>
        <w:t xml:space="preserve">benchmarks</w:t>
      </w:r>
      <w:r>
        <w:rPr>
          <w:sz w:val="24"/>
          <w:szCs w:val="24"/>
        </w:rPr>
        <w:t xml:space="preserve">. Para medir esse efeito na construção de um produto completo, o artigo propôs um experimento em que o OpenCode e o Pi constroem o Finn a partir da mesma especificação, com os tokens contados em um </w:t>
      </w:r>
      <w:r>
        <w:rPr>
          <w:i/>
          <w:iCs/>
          <w:sz w:val="24"/>
          <w:szCs w:val="24"/>
        </w:rPr>
        <w:t xml:space="preserve">proxy</w:t>
      </w:r>
      <w:r>
        <w:rPr>
          <w:sz w:val="24"/>
          <w:szCs w:val="24"/>
        </w:rPr>
        <w:t xml:space="preserve"> externo e o sucesso decidido por testes de aceitação escritos antes da execução.</w:t>
      </w:r>
    </w:p>
    <w:p>
      <w:pPr>
        <w:spacing w:before="0" w:after="0" w:line="360" w:lineRule="auto"/>
        <w:ind w:left="0" w:firstLine="709"/>
        <w:jc w:val="both"/>
      </w:pPr>
      <w:r>
        <w:rPr>
          <w:sz w:val="24"/>
          <w:szCs w:val="24"/>
        </w:rPr>
        <w:t xml:space="preserve">O objetivo geral ainda não foi atingido, porque depende da Camada 2. Até aqui, o trabalho definiu o protocolo e mediu a carga fixa dos dois </w:t>
      </w:r>
      <w:r>
        <w:rPr>
          <w:i/>
          <w:iCs/>
          <w:sz w:val="24"/>
          <w:szCs w:val="24"/>
        </w:rPr>
        <w:t xml:space="preserve">coding agents</w:t>
      </w:r>
      <w:r>
        <w:rPr>
          <w:sz w:val="24"/>
          <w:szCs w:val="24"/>
        </w:rPr>
        <w:t xml:space="preserve"> em uma tarefa de sondagem, e o repositório já publica o instrumento e os dados dessa medição (YuukiFST, 2026c). Nessa medição, o OpenCode enviou cerca de cinco vezes os tokens do Pi na primeira requisição. H1 e H2 continuam abertas.</w:t>
      </w:r>
    </w:p>
    <w:p>
      <w:pPr>
        <w:spacing w:before="0" w:after="0" w:line="360" w:lineRule="auto"/>
        <w:ind w:left="0" w:firstLine="709"/>
        <w:jc w:val="both"/>
      </w:pPr>
      <w:r>
        <w:rPr>
          <w:sz w:val="24"/>
          <w:szCs w:val="24"/>
        </w:rPr>
        <w:t xml:space="preserve">O projeto tem quatro limitações. O efeito do </w:t>
      </w:r>
      <w:r>
        <w:rPr>
          <w:i/>
          <w:iCs/>
          <w:sz w:val="24"/>
          <w:szCs w:val="24"/>
        </w:rPr>
        <w:t xml:space="preserve">harness</w:t>
      </w:r>
      <w:r>
        <w:rPr>
          <w:sz w:val="24"/>
          <w:szCs w:val="24"/>
        </w:rPr>
        <w:t xml:space="preserve"> depende do modelo, então as conclusões valem por nível. O produto é um único SaaS, especificado a partir da solução do autor. Cada </w:t>
      </w:r>
      <w:r>
        <w:rPr>
          <w:i/>
          <w:iCs/>
          <w:sz w:val="24"/>
          <w:szCs w:val="24"/>
        </w:rPr>
        <w:t xml:space="preserve">coding agent</w:t>
      </w:r>
      <w:r>
        <w:rPr>
          <w:sz w:val="24"/>
          <w:szCs w:val="24"/>
        </w:rPr>
        <w:t xml:space="preserve"> carrega os próprios erros de uma unidade à seguinte, então as unidades não são independentes, embora o teste de Wilcoxon suponha que sejam; o valor-p será lido como indicativo, ao lado da diferença e da dispersão. Por fim, o nível gratuito do </w:t>
      </w:r>
      <w:r>
        <w:rPr>
          <w:i/>
          <w:iCs/>
          <w:sz w:val="24"/>
          <w:szCs w:val="24"/>
        </w:rPr>
        <w:t xml:space="preserve">gateway</w:t>
      </w:r>
      <w:r>
        <w:rPr>
          <w:sz w:val="24"/>
          <w:szCs w:val="24"/>
        </w:rPr>
        <w:t xml:space="preserve"> pode trocar o modelo ou cortar a cota durante a coleta. A Camada 1, por sua vez, usou uma única tarefa e uma única máquina, e as razões da Tabela 1 valem só para ela.</w:t>
      </w:r>
    </w:p>
    <w:p>
      <w:pPr>
        <w:spacing w:before="0" w:after="0" w:line="360" w:lineRule="auto"/>
        <w:ind w:left="0" w:firstLine="709"/>
        <w:jc w:val="both"/>
      </w:pPr>
      <w:r>
        <w:rPr>
          <w:sz w:val="24"/>
          <w:szCs w:val="24"/>
        </w:rPr>
        <w:t xml:space="preserve">Como trabalhos futuros, além da Camada 2, sugere-se repetir o experimento com outros produtos e outros </w:t>
      </w:r>
      <w:r>
        <w:rPr>
          <w:i/>
          <w:iCs/>
          <w:sz w:val="24"/>
          <w:szCs w:val="24"/>
        </w:rPr>
        <w:t xml:space="preserve">harnesses</w:t>
      </w:r>
      <w:r>
        <w:rPr>
          <w:sz w:val="24"/>
          <w:szCs w:val="24"/>
        </w:rPr>
        <w:t xml:space="preserve"> e medir quanto cada componente do </w:t>
      </w:r>
      <w:r>
        <w:rPr>
          <w:i/>
          <w:iCs/>
          <w:sz w:val="24"/>
          <w:szCs w:val="24"/>
        </w:rPr>
        <w:t xml:space="preserve">harness</w:t>
      </w:r>
      <w:r>
        <w:rPr>
          <w:sz w:val="24"/>
          <w:szCs w:val="24"/>
        </w:rPr>
        <w:t xml:space="preserve"> pesa no custo, como pedem Ning </w:t>
      </w:r>
      <w:r>
        <w:rPr>
          <w:i/>
          <w:iCs/>
          <w:sz w:val="24"/>
          <w:szCs w:val="24"/>
        </w:rPr>
        <w:t xml:space="preserve">et al.</w:t>
      </w:r>
      <w:r>
        <w:rPr>
          <w:sz w:val="24"/>
          <w:szCs w:val="24"/>
        </w:rPr>
        <w:t xml:space="preserve"> (2026).</w:t>
      </w:r>
    </w:p>
    <w:p>
      <w:pPr>
        <w:keepNext/>
        <w:spacing w:before="240" w:after="120" w:line="360" w:lineRule="auto"/>
        <w:ind w:left="0" w:firstLine="0"/>
        <w:jc w:val="center"/>
      </w:pPr>
      <w:r>
        <w:rPr>
          <w:b/>
          <w:bCs/>
          <w:sz w:val="24"/>
          <w:szCs w:val="24"/>
        </w:rPr>
        <w:t xml:space="preserve">REFERÊNCIAS</w:t>
      </w:r>
    </w:p>
    <w:p>
      <w:pPr>
        <w:spacing w:before="120" w:after="120" w:line="240" w:lineRule="auto"/>
        <w:ind w:left="0" w:firstLine="0"/>
        <w:jc w:val="left"/>
      </w:pPr>
      <w:r>
        <w:rPr>
          <w:sz w:val="24"/>
          <w:szCs w:val="24"/>
        </w:rPr>
        <w:t xml:space="preserve">DEEPSEEK-AI. </w:t>
      </w:r>
      <w:r>
        <w:rPr>
          <w:b/>
          <w:bCs/>
          <w:sz w:val="24"/>
          <w:szCs w:val="24"/>
        </w:rPr>
        <w:t xml:space="preserve">DeepSeek-V4.1-Flash</w:t>
      </w:r>
      <w:r>
        <w:rPr>
          <w:sz w:val="24"/>
          <w:szCs w:val="24"/>
        </w:rPr>
        <w:t xml:space="preserve">: pushing the limits of KV cache compression. arXiv:2609.19969, 2026. </w:t>
      </w:r>
      <w:r>
        <w:rPr>
          <w:i/>
          <w:iCs/>
          <w:sz w:val="24"/>
          <w:szCs w:val="24"/>
        </w:rPr>
        <w:t xml:space="preserve">Preprint</w:t>
      </w:r>
      <w:r>
        <w:rPr>
          <w:sz w:val="24"/>
          <w:szCs w:val="24"/>
        </w:rPr>
        <w:t xml:space="preserve">, não revisado por pares. Disponível em: https://arxiv.org/abs/2609.19969. Acesso em: 22 out. 2026.</w:t>
      </w:r>
    </w:p>
    <w:p>
      <w:pPr>
        <w:spacing w:before="120" w:after="120" w:line="240" w:lineRule="auto"/>
        <w:ind w:left="0" w:firstLine="0"/>
        <w:jc w:val="left"/>
      </w:pPr>
      <w:r>
        <w:rPr>
          <w:sz w:val="24"/>
          <w:szCs w:val="24"/>
        </w:rPr>
        <w:t xml:space="preserve">EARENDIL. </w:t>
      </w:r>
      <w:r>
        <w:rPr>
          <w:b/>
          <w:bCs/>
          <w:sz w:val="24"/>
          <w:szCs w:val="24"/>
        </w:rPr>
        <w:t xml:space="preserve">Pi, minimal and performant</w:t>
      </w:r>
      <w:r>
        <w:rPr>
          <w:sz w:val="24"/>
          <w:szCs w:val="24"/>
        </w:rPr>
        <w:t xml:space="preserve">. 2026. Publicação de blogue institucional. Disponível em: https://earendil.com/posts/pi-autoresearch-and-databricks/. Acesso em: 28 ago. 2026.</w:t>
      </w:r>
    </w:p>
    <w:p>
      <w:pPr>
        <w:spacing w:before="120" w:after="120" w:line="240" w:lineRule="auto"/>
        <w:ind w:left="0" w:firstLine="0"/>
        <w:jc w:val="left"/>
      </w:pPr>
      <w:r>
        <w:rPr>
          <w:sz w:val="24"/>
          <w:szCs w:val="24"/>
        </w:rPr>
        <w:t xml:space="preserve">FURGALE, Paul </w:t>
      </w:r>
      <w:r>
        <w:rPr>
          <w:i/>
          <w:iCs/>
          <w:sz w:val="24"/>
          <w:szCs w:val="24"/>
        </w:rPr>
        <w:t xml:space="preserve">et al.</w:t>
      </w:r>
      <w:r>
        <w:rPr>
          <w:sz w:val="24"/>
          <w:szCs w:val="24"/>
        </w:rPr>
        <w:t xml:space="preserve"> </w:t>
      </w:r>
      <w:r>
        <w:rPr>
          <w:b/>
          <w:bCs/>
          <w:sz w:val="24"/>
          <w:szCs w:val="24"/>
        </w:rPr>
        <w:t xml:space="preserve">NVIDIA-labs OO Agents</w:t>
      </w:r>
      <w:r>
        <w:rPr>
          <w:sz w:val="24"/>
          <w:szCs w:val="24"/>
        </w:rPr>
        <w:t xml:space="preserve">: native Python object-oriented agents. arXiv:2607.20709, 2026. </w:t>
      </w:r>
      <w:r>
        <w:rPr>
          <w:i/>
          <w:iCs/>
          <w:sz w:val="24"/>
          <w:szCs w:val="24"/>
        </w:rPr>
        <w:t xml:space="preserve">Preprint</w:t>
      </w:r>
      <w:r>
        <w:rPr>
          <w:sz w:val="24"/>
          <w:szCs w:val="24"/>
        </w:rPr>
        <w:t xml:space="preserve">, não revisado por pares. Disponível em: https://arxiv.org/abs/2607.20709. Acesso em: 22 out. 2026.</w:t>
      </w:r>
    </w:p>
    <w:p>
      <w:pPr>
        <w:spacing w:before="120" w:after="120" w:line="240" w:lineRule="auto"/>
        <w:ind w:left="0" w:firstLine="0"/>
        <w:jc w:val="left"/>
      </w:pPr>
      <w:r>
        <w:rPr>
          <w:sz w:val="24"/>
          <w:szCs w:val="24"/>
        </w:rPr>
        <w:t xml:space="preserve">GRACE, Mikaela </w:t>
      </w:r>
      <w:r>
        <w:rPr>
          <w:i/>
          <w:iCs/>
          <w:sz w:val="24"/>
          <w:szCs w:val="24"/>
        </w:rPr>
        <w:t xml:space="preserve">et al.</w:t>
      </w:r>
      <w:r>
        <w:rPr>
          <w:sz w:val="24"/>
          <w:szCs w:val="24"/>
        </w:rPr>
        <w:t xml:space="preserve"> </w:t>
      </w:r>
      <w:r>
        <w:rPr>
          <w:b/>
          <w:bCs/>
          <w:sz w:val="24"/>
          <w:szCs w:val="24"/>
        </w:rPr>
        <w:t xml:space="preserve">Demystifying evals for AI agents</w:t>
      </w:r>
      <w:r>
        <w:rPr>
          <w:sz w:val="24"/>
          <w:szCs w:val="24"/>
        </w:rPr>
        <w:t xml:space="preserve">. 2026. Publicação de blogue de engenharia (Anthropic), não revisada por pares. Disponível em: https://www.anthropic.com/engineering/demystifying-evals-for-ai-agents. Acesso em: 22 out. 2026.</w:t>
      </w:r>
    </w:p>
    <w:p>
      <w:pPr>
        <w:spacing w:before="120" w:after="120" w:line="240" w:lineRule="auto"/>
        <w:ind w:left="0" w:firstLine="0"/>
        <w:jc w:val="left"/>
      </w:pPr>
      <w:r>
        <w:rPr>
          <w:sz w:val="24"/>
          <w:szCs w:val="24"/>
        </w:rPr>
        <w:t xml:space="preserve">JIN, Haibo </w:t>
      </w:r>
      <w:r>
        <w:rPr>
          <w:i/>
          <w:iCs/>
          <w:sz w:val="24"/>
          <w:szCs w:val="24"/>
        </w:rPr>
        <w:t xml:space="preserve">et al.</w:t>
      </w:r>
      <w:r>
        <w:rPr>
          <w:sz w:val="24"/>
          <w:szCs w:val="24"/>
        </w:rPr>
        <w:t xml:space="preserve"> </w:t>
      </w:r>
      <w:r>
        <w:rPr>
          <w:b/>
          <w:bCs/>
          <w:sz w:val="24"/>
          <w:szCs w:val="24"/>
        </w:rPr>
        <w:t xml:space="preserve">Harness engineering for software engineering via modular executable dev-primitives</w:t>
      </w:r>
      <w:r>
        <w:rPr>
          <w:sz w:val="24"/>
          <w:szCs w:val="24"/>
        </w:rPr>
        <w:t xml:space="preserve">. arXiv:2610.07832, 2026. </w:t>
      </w:r>
      <w:r>
        <w:rPr>
          <w:i/>
          <w:iCs/>
          <w:sz w:val="24"/>
          <w:szCs w:val="24"/>
        </w:rPr>
        <w:t xml:space="preserve">Preprint</w:t>
      </w:r>
      <w:r>
        <w:rPr>
          <w:sz w:val="24"/>
          <w:szCs w:val="24"/>
        </w:rPr>
        <w:t xml:space="preserve">, não revisado por pares. Disponível em: https://arxiv.org/abs/2610.07832. Acesso em: 22 out. 2026.</w:t>
      </w:r>
    </w:p>
    <w:p>
      <w:pPr>
        <w:spacing w:before="120" w:after="120" w:line="240" w:lineRule="auto"/>
        <w:ind w:left="0" w:firstLine="0"/>
        <w:jc w:val="left"/>
      </w:pPr>
      <w:r>
        <w:rPr>
          <w:sz w:val="24"/>
          <w:szCs w:val="24"/>
        </w:rPr>
        <w:t xml:space="preserve">KARPATHY, Andrej. </w:t>
      </w:r>
      <w:r>
        <w:rPr>
          <w:b/>
          <w:bCs/>
          <w:sz w:val="24"/>
          <w:szCs w:val="24"/>
        </w:rPr>
        <w:t xml:space="preserve">LLM Wiki</w:t>
      </w:r>
      <w:r>
        <w:rPr>
          <w:sz w:val="24"/>
          <w:szCs w:val="24"/>
        </w:rPr>
        <w:t xml:space="preserve">: a pattern for building personal knowledge bases using LLMs. 2026. Gist (GitHub). Disponível em: https://gist.github.com/karpathy/442a6bf555914893e9891c11519de94f. Acesso em: 14 set. 2026.</w:t>
      </w:r>
    </w:p>
    <w:p>
      <w:pPr>
        <w:spacing w:before="120" w:after="120" w:line="240" w:lineRule="auto"/>
        <w:ind w:left="0" w:firstLine="0"/>
        <w:jc w:val="left"/>
      </w:pPr>
      <w:r>
        <w:rPr>
          <w:sz w:val="24"/>
          <w:szCs w:val="24"/>
        </w:rPr>
        <w:t xml:space="preserve">LIN, Jiahang </w:t>
      </w:r>
      <w:r>
        <w:rPr>
          <w:i/>
          <w:iCs/>
          <w:sz w:val="24"/>
          <w:szCs w:val="24"/>
        </w:rPr>
        <w:t xml:space="preserve">et al.</w:t>
      </w:r>
      <w:r>
        <w:rPr>
          <w:sz w:val="24"/>
          <w:szCs w:val="24"/>
        </w:rPr>
        <w:t xml:space="preserve"> </w:t>
      </w:r>
      <w:r>
        <w:rPr>
          <w:b/>
          <w:bCs/>
          <w:sz w:val="24"/>
          <w:szCs w:val="24"/>
        </w:rPr>
        <w:t xml:space="preserve">Agentic harness engineering</w:t>
      </w:r>
      <w:r>
        <w:rPr>
          <w:sz w:val="24"/>
          <w:szCs w:val="24"/>
        </w:rPr>
        <w:t xml:space="preserve">: observability-driven automatic evolution of coding-agent harnesses. arXiv:2604.25850, 2026. </w:t>
      </w:r>
      <w:r>
        <w:rPr>
          <w:i/>
          <w:iCs/>
          <w:sz w:val="24"/>
          <w:szCs w:val="24"/>
        </w:rPr>
        <w:t xml:space="preserve">Preprint</w:t>
      </w:r>
      <w:r>
        <w:rPr>
          <w:sz w:val="24"/>
          <w:szCs w:val="24"/>
        </w:rPr>
        <w:t xml:space="preserve">, não revisado por pares. Disponível em: https://arxiv.org/abs/2604.25850. Acesso em: 28 ago. 2026.</w:t>
      </w:r>
    </w:p>
    <w:p>
      <w:pPr>
        <w:spacing w:before="120" w:after="120" w:line="240" w:lineRule="auto"/>
        <w:ind w:left="0" w:firstLine="0"/>
        <w:jc w:val="left"/>
      </w:pPr>
      <w:r>
        <w:rPr>
          <w:sz w:val="24"/>
          <w:szCs w:val="24"/>
        </w:rPr>
        <w:t xml:space="preserve">LINDENBAUER, Tobias </w:t>
      </w:r>
      <w:r>
        <w:rPr>
          <w:i/>
          <w:iCs/>
          <w:sz w:val="24"/>
          <w:szCs w:val="24"/>
        </w:rPr>
        <w:t xml:space="preserve">et al.</w:t>
      </w:r>
      <w:r>
        <w:rPr>
          <w:sz w:val="24"/>
          <w:szCs w:val="24"/>
        </w:rPr>
        <w:t xml:space="preserve"> </w:t>
      </w:r>
      <w:r>
        <w:rPr>
          <w:b/>
          <w:bCs/>
          <w:sz w:val="24"/>
          <w:szCs w:val="24"/>
        </w:rPr>
        <w:t xml:space="preserve">The complexity trap</w:t>
      </w:r>
      <w:r>
        <w:rPr>
          <w:sz w:val="24"/>
          <w:szCs w:val="24"/>
        </w:rPr>
        <w:t xml:space="preserve">: simple observation masking is as efficient as LLM summarization for agent context management. arXiv:2508.21433, 2025. </w:t>
      </w:r>
      <w:r>
        <w:rPr>
          <w:i/>
          <w:iCs/>
          <w:sz w:val="24"/>
          <w:szCs w:val="24"/>
        </w:rPr>
        <w:t xml:space="preserve">Preprint</w:t>
      </w:r>
      <w:r>
        <w:rPr>
          <w:sz w:val="24"/>
          <w:szCs w:val="24"/>
        </w:rPr>
        <w:t xml:space="preserve">, não revisado por pares. Disponível em: https://arxiv.org/abs/2508.21433. Acesso em: 22 out. 2026.</w:t>
      </w:r>
    </w:p>
    <w:p>
      <w:pPr>
        <w:spacing w:before="120" w:after="120" w:line="240" w:lineRule="auto"/>
        <w:ind w:left="0" w:firstLine="0"/>
        <w:jc w:val="left"/>
      </w:pPr>
      <w:r>
        <w:rPr>
          <w:sz w:val="24"/>
          <w:szCs w:val="24"/>
        </w:rPr>
        <w:t xml:space="preserve">LIU, Haozhe </w:t>
      </w:r>
      <w:r>
        <w:rPr>
          <w:i/>
          <w:iCs/>
          <w:sz w:val="24"/>
          <w:szCs w:val="24"/>
        </w:rPr>
        <w:t xml:space="preserve">et al.</w:t>
      </w:r>
      <w:r>
        <w:rPr>
          <w:sz w:val="24"/>
          <w:szCs w:val="24"/>
        </w:rPr>
        <w:t xml:space="preserve"> </w:t>
      </w:r>
      <w:r>
        <w:rPr>
          <w:b/>
          <w:bCs/>
          <w:sz w:val="24"/>
          <w:szCs w:val="24"/>
        </w:rPr>
        <w:t xml:space="preserve">SoL-Pi</w:t>
      </w:r>
      <w:r>
        <w:rPr>
          <w:sz w:val="24"/>
          <w:szCs w:val="24"/>
        </w:rPr>
        <w:t xml:space="preserve">: recursively scaling auto-research loops for efficient agent harness. arXiv:2609.20519, 2026. </w:t>
      </w:r>
      <w:r>
        <w:rPr>
          <w:i/>
          <w:iCs/>
          <w:sz w:val="24"/>
          <w:szCs w:val="24"/>
        </w:rPr>
        <w:t xml:space="preserve">Preprint</w:t>
      </w:r>
      <w:r>
        <w:rPr>
          <w:sz w:val="24"/>
          <w:szCs w:val="24"/>
        </w:rPr>
        <w:t xml:space="preserve">, não revisado por pares. Disponível em: https://arxiv.org/abs/2609.20519. Acesso em: 23 set. 2026.</w:t>
      </w:r>
    </w:p>
    <w:p>
      <w:pPr>
        <w:spacing w:before="120" w:after="120" w:line="240" w:lineRule="auto"/>
        <w:ind w:left="0" w:firstLine="0"/>
        <w:jc w:val="left"/>
      </w:pPr>
      <w:r>
        <w:rPr>
          <w:sz w:val="24"/>
          <w:szCs w:val="24"/>
        </w:rPr>
        <w:t xml:space="preserve">MERRILL, Mike A. </w:t>
      </w:r>
      <w:r>
        <w:rPr>
          <w:i/>
          <w:iCs/>
          <w:sz w:val="24"/>
          <w:szCs w:val="24"/>
        </w:rPr>
        <w:t xml:space="preserve">et al.</w:t>
      </w:r>
      <w:r>
        <w:rPr>
          <w:sz w:val="24"/>
          <w:szCs w:val="24"/>
        </w:rPr>
        <w:t xml:space="preserve"> Terminal-Bench: benchmarking agents on hard, realistic tasks in command line interfaces. In: INTERNATIONAL CONFERENCE ON LEARNING REPRESENTATIONS, 2026. </w:t>
      </w:r>
      <w:r>
        <w:rPr>
          <w:b/>
          <w:bCs/>
          <w:sz w:val="24"/>
          <w:szCs w:val="24"/>
        </w:rPr>
        <w:t xml:space="preserve">Proceedings</w:t>
      </w:r>
      <w:r>
        <w:rPr>
          <w:sz w:val="24"/>
          <w:szCs w:val="24"/>
        </w:rPr>
        <w:t xml:space="preserve"> [...]. [</w:t>
      </w:r>
      <w:r>
        <w:rPr>
          <w:i/>
          <w:iCs/>
          <w:sz w:val="24"/>
          <w:szCs w:val="24"/>
        </w:rPr>
        <w:t xml:space="preserve">S. l.</w:t>
      </w:r>
      <w:r>
        <w:rPr>
          <w:sz w:val="24"/>
          <w:szCs w:val="24"/>
        </w:rPr>
        <w:t xml:space="preserve">: </w:t>
      </w:r>
      <w:r>
        <w:rPr>
          <w:i/>
          <w:iCs/>
          <w:sz w:val="24"/>
          <w:szCs w:val="24"/>
        </w:rPr>
        <w:t xml:space="preserve">s. n.</w:t>
      </w:r>
      <w:r>
        <w:rPr>
          <w:sz w:val="24"/>
          <w:szCs w:val="24"/>
        </w:rPr>
        <w:t xml:space="preserve">], 2026. Disponível em: https://proceedings.iclr.cc/paper_files/paper/2026/hash/444a3737adaee10d86ad2ef5f74468e6-Abstract-Conference.html. Acesso em: 22 out. 2026.</w:t>
      </w:r>
    </w:p>
    <w:p>
      <w:pPr>
        <w:spacing w:before="120" w:after="120" w:line="240" w:lineRule="auto"/>
        <w:ind w:left="0" w:firstLine="0"/>
        <w:jc w:val="left"/>
      </w:pPr>
      <w:r>
        <w:rPr>
          <w:sz w:val="24"/>
          <w:szCs w:val="24"/>
        </w:rPr>
        <w:t xml:space="preserve">MILLER, Evan. </w:t>
      </w:r>
      <w:r>
        <w:rPr>
          <w:b/>
          <w:bCs/>
          <w:sz w:val="24"/>
          <w:szCs w:val="24"/>
        </w:rPr>
        <w:t xml:space="preserve">Adding error bars to evals</w:t>
      </w:r>
      <w:r>
        <w:rPr>
          <w:sz w:val="24"/>
          <w:szCs w:val="24"/>
        </w:rPr>
        <w:t xml:space="preserve">: a statistical approach to language model evaluations. arXiv:2411.00640, 2024. </w:t>
      </w:r>
      <w:r>
        <w:rPr>
          <w:i/>
          <w:iCs/>
          <w:sz w:val="24"/>
          <w:szCs w:val="24"/>
        </w:rPr>
        <w:t xml:space="preserve">Preprint</w:t>
      </w:r>
      <w:r>
        <w:rPr>
          <w:sz w:val="24"/>
          <w:szCs w:val="24"/>
        </w:rPr>
        <w:t xml:space="preserve">, não revisado por pares. Disponível em: https://arxiv.org/abs/2411.00640. Acesso em: 28 ago. 2026.</w:t>
      </w:r>
    </w:p>
    <w:p>
      <w:pPr>
        <w:spacing w:before="120" w:after="120" w:line="240" w:lineRule="auto"/>
        <w:ind w:left="0" w:firstLine="0"/>
        <w:jc w:val="left"/>
      </w:pPr>
      <w:r>
        <w:rPr>
          <w:sz w:val="24"/>
          <w:szCs w:val="24"/>
        </w:rPr>
        <w:t xml:space="preserve">NING, Xuying </w:t>
      </w:r>
      <w:r>
        <w:rPr>
          <w:i/>
          <w:iCs/>
          <w:sz w:val="24"/>
          <w:szCs w:val="24"/>
        </w:rPr>
        <w:t xml:space="preserve">et al.</w:t>
      </w:r>
      <w:r>
        <w:rPr>
          <w:sz w:val="24"/>
          <w:szCs w:val="24"/>
        </w:rPr>
        <w:t xml:space="preserve"> </w:t>
      </w:r>
      <w:r>
        <w:rPr>
          <w:b/>
          <w:bCs/>
          <w:sz w:val="24"/>
          <w:szCs w:val="24"/>
        </w:rPr>
        <w:t xml:space="preserve">Code as agent harness</w:t>
      </w:r>
      <w:r>
        <w:rPr>
          <w:sz w:val="24"/>
          <w:szCs w:val="24"/>
        </w:rPr>
        <w:t xml:space="preserve">. arXiv:2605.18747, 2026. </w:t>
      </w:r>
      <w:r>
        <w:rPr>
          <w:i/>
          <w:iCs/>
          <w:sz w:val="24"/>
          <w:szCs w:val="24"/>
        </w:rPr>
        <w:t xml:space="preserve">Preprint</w:t>
      </w:r>
      <w:r>
        <w:rPr>
          <w:sz w:val="24"/>
          <w:szCs w:val="24"/>
        </w:rPr>
        <w:t xml:space="preserve">, não revisado por pares. Disponível em: https://arxiv.org/abs/2605.18747. Acesso em: 28 ago. 2026.</w:t>
      </w:r>
    </w:p>
    <w:p>
      <w:pPr>
        <w:spacing w:before="120" w:after="120" w:line="240" w:lineRule="auto"/>
        <w:ind w:left="0" w:firstLine="0"/>
        <w:jc w:val="left"/>
      </w:pPr>
      <w:r>
        <w:rPr>
          <w:sz w:val="24"/>
          <w:szCs w:val="24"/>
        </w:rPr>
        <w:t xml:space="preserve">OPENCODE. </w:t>
      </w:r>
      <w:r>
        <w:rPr>
          <w:b/>
          <w:bCs/>
          <w:sz w:val="24"/>
          <w:szCs w:val="24"/>
        </w:rPr>
        <w:t xml:space="preserve">OpenCode</w:t>
      </w:r>
      <w:r>
        <w:rPr>
          <w:sz w:val="24"/>
          <w:szCs w:val="24"/>
        </w:rPr>
        <w:t xml:space="preserve">: the open source coding agent. 2026a. Repositório de código. Disponível em: https://github.com/anomalyco/opencode. Acesso em: 14 set. 2026.</w:t>
      </w:r>
    </w:p>
    <w:p>
      <w:pPr>
        <w:spacing w:before="120" w:after="120" w:line="240" w:lineRule="auto"/>
        <w:ind w:left="0" w:firstLine="0"/>
        <w:jc w:val="left"/>
      </w:pPr>
      <w:r>
        <w:rPr>
          <w:sz w:val="24"/>
          <w:szCs w:val="24"/>
        </w:rPr>
        <w:t xml:space="preserve">OPENCODE. </w:t>
      </w:r>
      <w:r>
        <w:rPr>
          <w:b/>
          <w:bCs/>
          <w:sz w:val="24"/>
          <w:szCs w:val="24"/>
        </w:rPr>
        <w:t xml:space="preserve">Zen</w:t>
      </w:r>
      <w:r>
        <w:rPr>
          <w:sz w:val="24"/>
          <w:szCs w:val="24"/>
        </w:rPr>
        <w:t xml:space="preserve">. 2026b. Documentação do produto. Disponível em: https://opencode.ai/docs/zen/. Acesso em: 28 ago. 2026.</w:t>
      </w:r>
    </w:p>
    <w:p>
      <w:pPr>
        <w:spacing w:before="120" w:after="120" w:line="240" w:lineRule="auto"/>
        <w:ind w:left="0" w:firstLine="0"/>
        <w:jc w:val="left"/>
      </w:pPr>
      <w:r>
        <w:rPr>
          <w:sz w:val="24"/>
          <w:szCs w:val="24"/>
        </w:rPr>
        <w:t xml:space="preserve">PAN, Melissa Z. </w:t>
      </w:r>
      <w:r>
        <w:rPr>
          <w:i/>
          <w:iCs/>
          <w:sz w:val="24"/>
          <w:szCs w:val="24"/>
        </w:rPr>
        <w:t xml:space="preserve">et al.</w:t>
      </w:r>
      <w:r>
        <w:rPr>
          <w:sz w:val="24"/>
          <w:szCs w:val="24"/>
        </w:rPr>
        <w:t xml:space="preserve"> </w:t>
      </w:r>
      <w:r>
        <w:rPr>
          <w:b/>
          <w:bCs/>
          <w:sz w:val="24"/>
          <w:szCs w:val="24"/>
        </w:rPr>
        <w:t xml:space="preserve">HarnessTax</w:t>
      </w:r>
      <w:r>
        <w:rPr>
          <w:sz w:val="24"/>
          <w:szCs w:val="24"/>
        </w:rPr>
        <w:t xml:space="preserve">: how much does the harness matter for coding agents? 2026. Publicação de blogue de pesquisa, não revisada por pares. Disponível em: https://harnesstax.github.io/. Acesso em: 23 set. 2026.</w:t>
      </w:r>
    </w:p>
    <w:p>
      <w:pPr>
        <w:spacing w:before="120" w:after="120" w:line="240" w:lineRule="auto"/>
        <w:ind w:left="0" w:firstLine="0"/>
        <w:jc w:val="left"/>
      </w:pPr>
      <w:r>
        <w:rPr>
          <w:sz w:val="24"/>
          <w:szCs w:val="24"/>
        </w:rPr>
        <w:t xml:space="preserve">WONG, Sherman </w:t>
      </w:r>
      <w:r>
        <w:rPr>
          <w:i/>
          <w:iCs/>
          <w:sz w:val="24"/>
          <w:szCs w:val="24"/>
        </w:rPr>
        <w:t xml:space="preserve">et al.</w:t>
      </w:r>
      <w:r>
        <w:rPr>
          <w:sz w:val="24"/>
          <w:szCs w:val="24"/>
        </w:rPr>
        <w:t xml:space="preserve"> </w:t>
      </w:r>
      <w:r>
        <w:rPr>
          <w:b/>
          <w:bCs/>
          <w:sz w:val="24"/>
          <w:szCs w:val="24"/>
        </w:rPr>
        <w:t xml:space="preserve">Confucius Code Agent</w:t>
      </w:r>
      <w:r>
        <w:rPr>
          <w:sz w:val="24"/>
          <w:szCs w:val="24"/>
        </w:rPr>
        <w:t xml:space="preserve">: scalable agent scaffolding for real-world codebases. arXiv:2512.10398, 2025. </w:t>
      </w:r>
      <w:r>
        <w:rPr>
          <w:i/>
          <w:iCs/>
          <w:sz w:val="24"/>
          <w:szCs w:val="24"/>
        </w:rPr>
        <w:t xml:space="preserve">Preprint</w:t>
      </w:r>
      <w:r>
        <w:rPr>
          <w:sz w:val="24"/>
          <w:szCs w:val="24"/>
        </w:rPr>
        <w:t xml:space="preserve">, não revisado por pares. Disponível em: https://arxiv.org/abs/2512.10398. Acesso em: 22 out. 2026.</w:t>
      </w:r>
    </w:p>
    <w:p>
      <w:pPr>
        <w:spacing w:before="120" w:after="120" w:line="240" w:lineRule="auto"/>
        <w:ind w:left="0" w:firstLine="0"/>
        <w:jc w:val="left"/>
      </w:pPr>
      <w:r>
        <w:rPr>
          <w:sz w:val="24"/>
          <w:szCs w:val="24"/>
        </w:rPr>
        <w:t xml:space="preserve">YOUNG, Justin. </w:t>
      </w:r>
      <w:r>
        <w:rPr>
          <w:b/>
          <w:bCs/>
          <w:sz w:val="24"/>
          <w:szCs w:val="24"/>
        </w:rPr>
        <w:t xml:space="preserve">Effective harnesses for long-running agents</w:t>
      </w:r>
      <w:r>
        <w:rPr>
          <w:sz w:val="24"/>
          <w:szCs w:val="24"/>
        </w:rPr>
        <w:t xml:space="preserve">. 2025. Publicação de blogue de engenharia (Anthropic), não revisada por pares. Disponível em: https://www.anthropic.com/engineering/effective-harnesses-for-long-running-agents. Acesso em: 24 set. 2026.</w:t>
      </w:r>
    </w:p>
    <w:p>
      <w:pPr>
        <w:spacing w:before="120" w:after="120" w:line="240" w:lineRule="auto"/>
        <w:ind w:left="0" w:firstLine="0"/>
        <w:jc w:val="left"/>
      </w:pPr>
      <w:r>
        <w:rPr>
          <w:sz w:val="24"/>
          <w:szCs w:val="24"/>
        </w:rPr>
        <w:t xml:space="preserve">YUUKIFST. </w:t>
      </w:r>
      <w:r>
        <w:rPr>
          <w:b/>
          <w:bCs/>
          <w:sz w:val="24"/>
          <w:szCs w:val="24"/>
        </w:rPr>
        <w:t xml:space="preserve">agent-dotfiles</w:t>
      </w:r>
      <w:r>
        <w:rPr>
          <w:sz w:val="24"/>
          <w:szCs w:val="24"/>
        </w:rPr>
        <w:t xml:space="preserve">: skill Helmsman, mapa de decisões para agentes de codificação. 2026a. Repositório de código. Disponível em: https://github.com/YuukiFST/agent-dotfiles/tree/main/skills/helmsman. Acesso em: 15 set. 2026.</w:t>
      </w:r>
    </w:p>
    <w:p>
      <w:pPr>
        <w:spacing w:before="120" w:after="120" w:line="240" w:lineRule="auto"/>
        <w:ind w:left="0" w:firstLine="0"/>
        <w:jc w:val="left"/>
      </w:pPr>
      <w:r>
        <w:rPr>
          <w:sz w:val="24"/>
          <w:szCs w:val="24"/>
        </w:rPr>
        <w:t xml:space="preserve">YUUKIFST. </w:t>
      </w:r>
      <w:r>
        <w:rPr>
          <w:b/>
          <w:bCs/>
          <w:sz w:val="24"/>
          <w:szCs w:val="24"/>
        </w:rPr>
        <w:t xml:space="preserve">Finn</w:t>
      </w:r>
      <w:r>
        <w:rPr>
          <w:sz w:val="24"/>
          <w:szCs w:val="24"/>
        </w:rPr>
        <w:t xml:space="preserve">: SaaS universal de financeiro por voz. 2026b. Repositório de código. Disponível em: https://github.com/YuukiFST/Finn. Acesso em: 14 set. 2026.</w:t>
      </w:r>
    </w:p>
    <w:p>
      <w:pPr>
        <w:spacing w:before="120" w:after="120" w:line="240" w:lineRule="auto"/>
        <w:ind w:left="0" w:firstLine="0"/>
        <w:jc w:val="left"/>
      </w:pPr>
      <w:r>
        <w:rPr>
          <w:sz w:val="24"/>
          <w:szCs w:val="24"/>
        </w:rPr>
        <w:t xml:space="preserve">YUUKIFST. </w:t>
      </w:r>
      <w:r>
        <w:rPr>
          <w:b/>
          <w:bCs/>
          <w:sz w:val="24"/>
          <w:szCs w:val="24"/>
        </w:rPr>
        <w:t xml:space="preserve">harness-bench</w:t>
      </w:r>
      <w:r>
        <w:rPr>
          <w:sz w:val="24"/>
          <w:szCs w:val="24"/>
        </w:rPr>
        <w:t xml:space="preserve">: executor, prompts, testes de aceitação, dados brutos e scripts de análise deste projeto. 2026c. Repositório de código. Disponível em: https://github.com/YuukiFST/harness-bench. Acesso em: 28 ago. 2026.</w:t>
      </w:r>
    </w:p>
    <w:p>
      <w:pPr>
        <w:spacing w:before="120" w:after="120" w:line="240" w:lineRule="auto"/>
        <w:ind w:left="0" w:firstLine="0"/>
        <w:jc w:val="left"/>
      </w:pPr>
      <w:r>
        <w:rPr>
          <w:sz w:val="24"/>
          <w:szCs w:val="24"/>
        </w:rPr>
        <w:t xml:space="preserve">ZHANG, Yunbei </w:t>
      </w:r>
      <w:r>
        <w:rPr>
          <w:i/>
          <w:iCs/>
          <w:sz w:val="24"/>
          <w:szCs w:val="24"/>
        </w:rPr>
        <w:t xml:space="preserve">et al.</w:t>
      </w:r>
      <w:r>
        <w:rPr>
          <w:sz w:val="24"/>
          <w:szCs w:val="24"/>
        </w:rPr>
        <w:t xml:space="preserve"> </w:t>
      </w:r>
      <w:r>
        <w:rPr>
          <w:b/>
          <w:bCs/>
          <w:sz w:val="24"/>
          <w:szCs w:val="24"/>
        </w:rPr>
        <w:t xml:space="preserve">Stop comparing LLM agents without disclosing the harness</w:t>
      </w:r>
      <w:r>
        <w:rPr>
          <w:sz w:val="24"/>
          <w:szCs w:val="24"/>
        </w:rPr>
        <w:t xml:space="preserve">. arXiv:2605.23950, 2026. </w:t>
      </w:r>
      <w:r>
        <w:rPr>
          <w:i/>
          <w:iCs/>
          <w:sz w:val="24"/>
          <w:szCs w:val="24"/>
        </w:rPr>
        <w:t xml:space="preserve">Preprint</w:t>
      </w:r>
      <w:r>
        <w:rPr>
          <w:sz w:val="24"/>
          <w:szCs w:val="24"/>
        </w:rPr>
        <w:t xml:space="preserve">, não revisado por pares. Disponível em: https://arxiv.org/abs/2605.23950. Acesso em: 28 ago. 2026.</w:t>
      </w:r>
    </w:p>
    <w:sectPr>
      <w:footerReference w:type="default" r:id="rIdFooter1"/>
      <w:footnotePr>
        <w:numFmt w:val="decimal"/>
      </w:footnotePr>
      <w:pgSz w:w="11906" w:h="16838" w:orient="portrait"/>
      <w:pgMar w:top="1701" w:right="1134" w:bottom="1134" w:left="1701" w:header="709" w:footer="709" w:gutter="0"/>
      <w:pgNumType w:start="1"/>
    </w:sectPr>
  </w:body>
</w:document>
</file>

<file path=word/footer1.xml><?xml version="1.0" encoding="utf-8"?>
<w:ftr xmlns:w="http://schemas.openxmlformats.org/wordprocessingml/2006/main" xmlns:r="http://schemas.openxmlformats.org/officeDocument/2006/relationships">
  <w:p>
    <w:pPr>
      <w:jc w:val="right"/>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jc w:val="both"/>
      </w:pPr>
      <w:r>
        <w:rPr>
          <w:vertAlign w:val="superscript"/>
          <w:sz w:val="20"/>
        </w:rPr>
        <w:footnoteRef/>
      </w:r>
      <w:r>
        <w:rPr>
          <w:sz w:val="20"/>
          <w:szCs w:val="20"/>
        </w:rPr>
        <w:t xml:space="preserve"> Discente do Curso de Sistemas para Internet – Departamento de Área de Informática – Instituto Federal de Educação, Ciência e Tecnologia de Mato Grosso – Campus Cuiabá Cel. Octayde Jorge da Silva, Rua Profa. Zulmira Canavarros, 95 – CEP: 78005-200. faustoyuuki@gmail.com</w:t>
      </w:r>
    </w:p>
  </w:footnote>
  <w:footnote w:id="2">
    <w:p>
      <w:pPr>
        <w:spacing w:after="0" w:line="240" w:lineRule="auto"/>
        <w:jc w:val="both"/>
      </w:pPr>
      <w:r>
        <w:rPr>
          <w:vertAlign w:val="superscript"/>
          <w:sz w:val="20"/>
        </w:rPr>
        <w:footnoteRef/>
      </w:r>
      <w:r>
        <w:rPr>
          <w:sz w:val="20"/>
          <w:szCs w:val="20"/>
        </w:rPr>
        <w:t xml:space="preserve"> Professora orientadora – Departamento de Área de Informática – Instituto Federal de Educação, Ciência e Tecnologia de Mato Grosso – Campus Cuiabá Cel. Octayde Jorge da Silva. inara.ferrer@ifmt.edu.br</w:t>
      </w:r>
    </w:p>
  </w:footnote>
</w:footnotes>
</file>

<file path=word/settings.xml><?xml version="1.0" encoding="utf-8"?>
<w:settings xmlns:w="http://schemas.openxmlformats.org/wordprocessingml/2006/main" xmlns:r="http://schemas.openxmlformats.org/officeDocument/2006/relationships">
  <w:defaultTabStop w:val="709"/>
  <w:footnotePr>
    <w:footnote w:id="-1"/>
    <w:footnote w:id="0"/>
  </w:foot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pt-BR"/>
      </w:rPr>
    </w:rPrDefault>
    <w:pPrDefault>
      <w:pPr>
        <w:spacing w:after="0" w:line="240"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notes" Type="http://schemas.openxmlformats.org/officeDocument/2006/relationships/footnotes" Target="footnotes.xml"/><Relationship Id="rIdFooter1" Type="http://schemas.openxmlformats.org/officeDocument/2006/relationships/footer" Target="footer1.xml"/></Relationships>
</file>