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jc w:val="center"/>
      </w:pPr>
      <w:r>
        <w:rPr>
          <w:rFonts w:ascii="Times New Roman" w:hAnsi="Times New Roman" w:cs="Times New Roman"/>
          <w:b/>
          <w:i w:val="0"/>
          <w:sz w:val="24"/>
        </w:rPr>
        <w:t>INSTITUTO FEDERAL DE EDUCAÇÃO, CIÊNCIA E TECNOLOGIA</w:t>
      </w:r>
    </w:p>
    <w:p>
      <w:pPr>
        <w:spacing w:after="0" w:line="240" w:lineRule="auto"/>
        <w:jc w:val="center"/>
      </w:pPr>
      <w:r>
        <w:rPr>
          <w:rFonts w:ascii="Times New Roman" w:hAnsi="Times New Roman" w:cs="Times New Roman"/>
          <w:b/>
          <w:i w:val="0"/>
          <w:sz w:val="24"/>
        </w:rPr>
        <w:t>DE MATO GROSSO - CAMPUS OCTAYDE JORGE DA SILVA</w:t>
      </w:r>
    </w:p>
    <w:p>
      <w:pPr>
        <w:spacing w:after="0" w:line="240" w:lineRule="auto"/>
        <w:jc w:val="center"/>
      </w:pPr>
      <w:r>
        <w:rPr>
          <w:rFonts w:ascii="Times New Roman" w:hAnsi="Times New Roman" w:cs="Times New Roman"/>
          <w:b/>
          <w:i w:val="0"/>
          <w:sz w:val="24"/>
        </w:rPr>
        <w:t>DIRETORIA DE ENSINO</w:t>
      </w:r>
    </w:p>
    <w:p>
      <w:pPr>
        <w:spacing w:after="0" w:line="240" w:lineRule="auto"/>
        <w:jc w:val="center"/>
      </w:pPr>
      <w:r>
        <w:rPr>
          <w:rFonts w:ascii="Times New Roman" w:hAnsi="Times New Roman" w:cs="Times New Roman"/>
          <w:b/>
          <w:i w:val="0"/>
          <w:sz w:val="24"/>
        </w:rPr>
        <w:t>DEPARTAMENTO DE ÁREA DE INFORMÁTICA</w:t>
      </w:r>
    </w:p>
    <w:p/>
    <w:p/>
    <w:p/>
    <w:p/>
    <w:p>
      <w:pPr>
        <w:spacing w:after="0"/>
        <w:jc w:val="center"/>
      </w:pPr>
      <w:r>
        <w:rPr>
          <w:rFonts w:ascii="Times New Roman" w:hAnsi="Times New Roman" w:cs="Times New Roman"/>
          <w:b/>
          <w:i w:val="0"/>
          <w:sz w:val="28"/>
        </w:rPr>
        <w:t>[NOME COMPLETO]</w:t>
      </w:r>
    </w:p>
    <w:p/>
    <w:p/>
    <w:p/>
    <w:p/>
    <w:p/>
    <w:p/>
    <w:p>
      <w:pPr>
        <w:spacing w:line="360" w:lineRule="auto" w:after="0"/>
        <w:jc w:val="center"/>
      </w:pPr>
      <w:r>
        <w:rPr>
          <w:rFonts w:ascii="Times New Roman" w:hAnsi="Times New Roman" w:cs="Times New Roman"/>
          <w:b/>
          <w:i w:val="0"/>
          <w:sz w:val="32"/>
        </w:rPr>
        <w:t>HARNESSES DE AGENTES DE CODIFICAÇÃO: O IMPACTO DO PROJETO DO HARNESS SOBRE O CUSTO E O DESEMPENHO DE UM MODELO DE LINGUAGEM MANTIDO FIXO</w:t>
      </w:r>
    </w:p>
    <w:p/>
    <w:p/>
    <w:p/>
    <w:p/>
    <w:p/>
    <w:p/>
    <w:p/>
    <w:p/>
    <w:p>
      <w:pPr>
        <w:spacing w:after="0" w:line="240" w:lineRule="auto"/>
        <w:jc w:val="center"/>
      </w:pPr>
      <w:r>
        <w:rPr>
          <w:rFonts w:ascii="Times New Roman" w:hAnsi="Times New Roman" w:cs="Times New Roman"/>
          <w:b w:val="0"/>
          <w:i w:val="0"/>
          <w:sz w:val="24"/>
        </w:rPr>
        <w:t>Cuiabá</w:t>
      </w:r>
    </w:p>
    <w:p>
      <w:pPr>
        <w:spacing w:after="0" w:line="240" w:lineRule="auto"/>
        <w:jc w:val="center"/>
      </w:pPr>
      <w:r>
        <w:rPr>
          <w:rFonts w:ascii="Times New Roman" w:hAnsi="Times New Roman" w:cs="Times New Roman"/>
          <w:b w:val="0"/>
          <w:i w:val="0"/>
          <w:sz w:val="24"/>
        </w:rPr>
        <w:t>2026</w:t>
      </w:r>
    </w:p>
    <w:p>
      <w:r>
        <w:br w:type="page"/>
      </w:r>
    </w:p>
    <w:p>
      <w:pPr>
        <w:spacing w:after="480"/>
        <w:jc w:val="center"/>
      </w:pPr>
      <w:r>
        <w:rPr>
          <w:rFonts w:ascii="Times New Roman" w:hAnsi="Times New Roman" w:cs="Times New Roman"/>
          <w:b/>
          <w:i w:val="0"/>
          <w:sz w:val="28"/>
        </w:rPr>
        <w:t>SUMÁRIO</w:t>
      </w:r>
    </w:p>
    <w:p>
      <w:pPr>
        <w:tabs>
          <w:tab w:pos="9071" w:val="right"/>
        </w:tabs>
        <w:spacing w:line="360" w:lineRule="auto" w:after="0"/>
        <w:ind w:firstLine="0"/>
      </w:pPr>
      <w:r>
        <w:rPr>
          <w:rFonts w:ascii="Times New Roman" w:hAnsi="Times New Roman" w:cs="Times New Roman"/>
          <w:b w:val="0"/>
          <w:i w:val="0"/>
          <w:sz w:val="24"/>
        </w:rPr>
        <w:t>1 INTRODUÇÃO</w:t>
        <w:tab/>
        <w:t>1</w:t>
      </w:r>
    </w:p>
    <w:p>
      <w:pPr>
        <w:tabs>
          <w:tab w:pos="9071" w:val="right"/>
        </w:tabs>
        <w:spacing w:line="360" w:lineRule="auto" w:after="0"/>
        <w:ind w:firstLine="0"/>
      </w:pPr>
      <w:r>
        <w:rPr>
          <w:rFonts w:ascii="Times New Roman" w:hAnsi="Times New Roman" w:cs="Times New Roman"/>
          <w:b w:val="0"/>
          <w:i w:val="0"/>
          <w:sz w:val="24"/>
        </w:rPr>
        <w:t>2 REFERENCIAL TEÓRICO</w:t>
        <w:tab/>
        <w:t>2</w:t>
      </w:r>
    </w:p>
    <w:p>
      <w:pPr>
        <w:tabs>
          <w:tab w:pos="9071" w:val="right"/>
        </w:tabs>
        <w:spacing w:line="360" w:lineRule="auto" w:after="0"/>
        <w:ind w:firstLine="0"/>
      </w:pPr>
      <w:r>
        <w:rPr>
          <w:rFonts w:ascii="Times New Roman" w:hAnsi="Times New Roman" w:cs="Times New Roman"/>
          <w:b w:val="0"/>
          <w:i w:val="0"/>
          <w:sz w:val="24"/>
        </w:rPr>
        <w:t>3 MATERIAL E MÉTODO</w:t>
        <w:tab/>
        <w:t>3</w:t>
      </w:r>
    </w:p>
    <w:p>
      <w:pPr>
        <w:tabs>
          <w:tab w:pos="9071" w:val="right"/>
        </w:tabs>
        <w:spacing w:line="360" w:lineRule="auto" w:after="0"/>
        <w:ind w:firstLine="0"/>
      </w:pPr>
      <w:r>
        <w:rPr>
          <w:rFonts w:ascii="Times New Roman" w:hAnsi="Times New Roman" w:cs="Times New Roman"/>
          <w:b w:val="0"/>
          <w:i w:val="0"/>
          <w:sz w:val="24"/>
        </w:rPr>
        <w:t>4 ORÇAMENTO</w:t>
        <w:tab/>
        <w:t>6</w:t>
      </w:r>
    </w:p>
    <w:p>
      <w:pPr>
        <w:tabs>
          <w:tab w:pos="9071" w:val="right"/>
        </w:tabs>
        <w:spacing w:line="360" w:lineRule="auto" w:after="0"/>
        <w:ind w:firstLine="0"/>
      </w:pPr>
      <w:r>
        <w:rPr>
          <w:rFonts w:ascii="Times New Roman" w:hAnsi="Times New Roman" w:cs="Times New Roman"/>
          <w:b w:val="0"/>
          <w:i w:val="0"/>
          <w:sz w:val="24"/>
        </w:rPr>
        <w:t>5 CRONOGRAMA</w:t>
        <w:tab/>
        <w:t>7</w:t>
      </w:r>
    </w:p>
    <w:p>
      <w:pPr>
        <w:tabs>
          <w:tab w:pos="9071" w:val="right"/>
        </w:tabs>
        <w:spacing w:line="360" w:lineRule="auto" w:after="0"/>
        <w:ind w:firstLine="0"/>
      </w:pPr>
      <w:r>
        <w:rPr>
          <w:rFonts w:ascii="Times New Roman" w:hAnsi="Times New Roman" w:cs="Times New Roman"/>
          <w:b w:val="0"/>
          <w:i w:val="0"/>
          <w:sz w:val="24"/>
        </w:rPr>
        <w:t>6 REFERÊNCIAS</w:t>
        <w:tab/>
        <w:t>7</w:t>
      </w:r>
    </w:p>
    <w:p>
      <w:pPr>
        <w:sectPr>
          <w:pgSz w:w="11906" w:h="16838"/>
          <w:pgMar w:top="1701" w:right="1134" w:bottom="1134" w:left="1701" w:header="720" w:footer="720" w:gutter="0"/>
          <w:cols w:space="720"/>
          <w:docGrid w:linePitch="360"/>
        </w:sectPr>
      </w:pPr>
    </w:p>
    <w:p>
      <w:pPr>
        <w:keepNext/>
        <w:spacing w:line="360" w:lineRule="auto" w:before="240" w:after="120"/>
        <w:ind w:firstLine="0"/>
      </w:pPr>
      <w:r>
        <w:rPr>
          <w:rFonts w:ascii="Times New Roman" w:hAnsi="Times New Roman" w:cs="Times New Roman"/>
          <w:b/>
          <w:i w:val="0"/>
          <w:sz w:val="28"/>
        </w:rPr>
        <w:t>1 INTRODUÇÃO</w:t>
      </w:r>
    </w:p>
    <w:p>
      <w:pPr>
        <w:spacing w:line="360" w:lineRule="auto" w:before="120" w:after="0"/>
        <w:ind w:firstLine="0"/>
      </w:pPr>
      <w:r>
        <w:rPr>
          <w:rFonts w:ascii="Times New Roman" w:hAnsi="Times New Roman" w:cs="Times New Roman"/>
          <w:b/>
          <w:i w:val="0"/>
          <w:sz w:val="24"/>
        </w:rPr>
        <w:t>Justificativa</w:t>
      </w:r>
    </w:p>
    <w:p>
      <w:pPr>
        <w:spacing w:line="360" w:lineRule="auto" w:before="0" w:after="0"/>
        <w:ind w:firstLine="709"/>
        <w:jc w:val="both"/>
      </w:pPr>
      <w:r>
        <w:rPr>
          <w:rFonts w:ascii="Times New Roman" w:hAnsi="Times New Roman" w:cs="Times New Roman"/>
          <w:b w:val="0"/>
          <w:i w:val="0"/>
          <w:sz w:val="24"/>
        </w:rPr>
        <w:t>A escolha do modelo domina a discussão sobre agentes de codificação, mas não é o único fator sob controle de quem os usa. Na Tabela 1 de Lin et al. (2026)</w:t>
      </w:r>
      <w:r>
        <w:rPr>
          <w:rFonts w:ascii="Times New Roman" w:hAnsi="Times New Roman" w:cs="Times New Roman"/>
          <w:b w:val="0"/>
          <w:i w:val="0"/>
          <w:sz w:val="24"/>
          <w:vertAlign w:val="superscript"/>
        </w:rPr>
        <w:footnoteReference w:id="2"/>
      </w:r>
      <w:r>
        <w:rPr>
          <w:rFonts w:ascii="Times New Roman" w:hAnsi="Times New Roman" w:cs="Times New Roman"/>
          <w:b w:val="0"/>
          <w:i w:val="0"/>
          <w:sz w:val="24"/>
        </w:rPr>
        <w:t xml:space="preserve">, três </w:t>
      </w:r>
      <w:r>
        <w:rPr>
          <w:rFonts w:ascii="Times New Roman" w:hAnsi="Times New Roman" w:cs="Times New Roman"/>
          <w:b w:val="0"/>
          <w:i/>
          <w:sz w:val="24"/>
        </w:rPr>
        <w:t>harnesses</w:t>
      </w:r>
      <w:r>
        <w:rPr>
          <w:rFonts w:ascii="Times New Roman" w:hAnsi="Times New Roman" w:cs="Times New Roman"/>
          <w:b w:val="0"/>
          <w:i w:val="0"/>
          <w:sz w:val="24"/>
        </w:rPr>
        <w:t xml:space="preserve"> humanos sobre o mesmo modelo congelado obtêm 47,2%, 62,9% e 71,9% de pass@1 — 24,7 pontos percentuais de dispersão atribuíveis só ao </w:t>
      </w:r>
      <w:r>
        <w:rPr>
          <w:rFonts w:ascii="Times New Roman" w:hAnsi="Times New Roman" w:cs="Times New Roman"/>
          <w:b w:val="0"/>
          <w:i/>
          <w:sz w:val="24"/>
        </w:rPr>
        <w:t>harness</w:t>
      </w:r>
      <w:r>
        <w:rPr>
          <w:rFonts w:ascii="Times New Roman" w:hAnsi="Times New Roman" w:cs="Times New Roman"/>
          <w:b w:val="0"/>
          <w:i w:val="0"/>
          <w:sz w:val="24"/>
        </w:rPr>
        <w:t>. O estudo da Databricks relatado por Earendil (2026) registra variação superior a 2x no custo por tarefa, com qualidade igual ou melhor.</w:t>
      </w:r>
    </w:p>
    <w:p>
      <w:pPr>
        <w:spacing w:line="360" w:lineRule="auto" w:before="0" w:after="0"/>
        <w:ind w:firstLine="709"/>
        <w:jc w:val="both"/>
      </w:pPr>
      <w:r>
        <w:rPr>
          <w:rFonts w:ascii="Times New Roman" w:hAnsi="Times New Roman" w:cs="Times New Roman"/>
          <w:b w:val="0"/>
          <w:i w:val="0"/>
          <w:sz w:val="24"/>
        </w:rPr>
        <w:t xml:space="preserve">Este projeto já mediu o efeito com a linhagem do </w:t>
      </w:r>
      <w:r>
        <w:rPr>
          <w:rFonts w:ascii="Times New Roman" w:hAnsi="Times New Roman" w:cs="Times New Roman"/>
          <w:b w:val="0"/>
          <w:i/>
          <w:sz w:val="24"/>
        </w:rPr>
        <w:t>harness</w:t>
      </w:r>
      <w:r>
        <w:rPr>
          <w:rFonts w:ascii="Times New Roman" w:hAnsi="Times New Roman" w:cs="Times New Roman"/>
          <w:b w:val="0"/>
          <w:i w:val="0"/>
          <w:sz w:val="24"/>
        </w:rPr>
        <w:t xml:space="preserve"> fixa: na primeira requisição da mesma tarefa, o oh-my-pi — </w:t>
      </w:r>
      <w:r>
        <w:rPr>
          <w:rFonts w:ascii="Times New Roman" w:hAnsi="Times New Roman" w:cs="Times New Roman"/>
          <w:b w:val="0"/>
          <w:i/>
          <w:sz w:val="24"/>
        </w:rPr>
        <w:t>fork</w:t>
      </w:r>
      <w:r>
        <w:rPr>
          <w:rFonts w:ascii="Times New Roman" w:hAnsi="Times New Roman" w:cs="Times New Roman"/>
          <w:b w:val="0"/>
          <w:i w:val="0"/>
          <w:sz w:val="24"/>
        </w:rPr>
        <w:t xml:space="preserve"> direto do pi — envia 11,4x os bytes do próprio ascendente, 64.945 contra 5.676, antes que o modelo gere um token. Daí a pergunta prática: você está mesmo extraindo o máximo do modelo que está pagando para usar?</w:t>
      </w:r>
    </w:p>
    <w:p>
      <w:pPr>
        <w:spacing w:line="360" w:lineRule="auto" w:before="120" w:after="0"/>
        <w:ind w:firstLine="0"/>
      </w:pPr>
      <w:r>
        <w:rPr>
          <w:rFonts w:ascii="Times New Roman" w:hAnsi="Times New Roman" w:cs="Times New Roman"/>
          <w:b/>
          <w:i w:val="0"/>
          <w:sz w:val="24"/>
        </w:rPr>
        <w:t>Tema</w:t>
      </w:r>
    </w:p>
    <w:p>
      <w:pPr>
        <w:spacing w:line="360" w:lineRule="auto" w:before="0" w:after="0"/>
        <w:ind w:firstLine="709"/>
        <w:jc w:val="both"/>
      </w:pPr>
      <w:r>
        <w:rPr>
          <w:rFonts w:ascii="Times New Roman" w:hAnsi="Times New Roman" w:cs="Times New Roman"/>
          <w:b w:val="0"/>
          <w:i/>
          <w:sz w:val="24"/>
        </w:rPr>
        <w:t>Harnesses</w:t>
      </w:r>
      <w:r>
        <w:rPr>
          <w:rFonts w:ascii="Times New Roman" w:hAnsi="Times New Roman" w:cs="Times New Roman"/>
          <w:b w:val="0"/>
          <w:i w:val="0"/>
          <w:sz w:val="24"/>
        </w:rPr>
        <w:t xml:space="preserve"> de agentes de codificação: o impacto do projeto do </w:t>
      </w:r>
      <w:r>
        <w:rPr>
          <w:rFonts w:ascii="Times New Roman" w:hAnsi="Times New Roman" w:cs="Times New Roman"/>
          <w:b w:val="0"/>
          <w:i/>
          <w:sz w:val="24"/>
        </w:rPr>
        <w:t>harness</w:t>
      </w:r>
      <w:r>
        <w:rPr>
          <w:rFonts w:ascii="Times New Roman" w:hAnsi="Times New Roman" w:cs="Times New Roman"/>
          <w:b w:val="0"/>
          <w:i w:val="0"/>
          <w:sz w:val="24"/>
        </w:rPr>
        <w:t xml:space="preserve"> sobre o custo e o desempenho de um modelo de linguagem mantido fixo.</w:t>
      </w:r>
    </w:p>
    <w:p>
      <w:pPr>
        <w:spacing w:line="360" w:lineRule="auto" w:before="120" w:after="0"/>
        <w:ind w:firstLine="0"/>
      </w:pPr>
      <w:r>
        <w:rPr>
          <w:rFonts w:ascii="Times New Roman" w:hAnsi="Times New Roman" w:cs="Times New Roman"/>
          <w:b/>
          <w:i w:val="0"/>
          <w:sz w:val="24"/>
        </w:rPr>
        <w:t>Problema</w:t>
      </w:r>
    </w:p>
    <w:p>
      <w:pPr>
        <w:spacing w:line="360" w:lineRule="auto" w:before="0" w:after="0"/>
        <w:ind w:firstLine="709"/>
        <w:jc w:val="both"/>
      </w:pPr>
      <w:r>
        <w:rPr>
          <w:rFonts w:ascii="Times New Roman" w:hAnsi="Times New Roman" w:cs="Times New Roman"/>
          <w:b w:val="0"/>
          <w:i w:val="0"/>
          <w:sz w:val="24"/>
        </w:rPr>
        <w:t xml:space="preserve">Mantido fixo o modelo de linguagem, quanto do custo em tokens e da taxa de sucesso de um agente de codificação é determinado pelo projeto do </w:t>
      </w:r>
      <w:r>
        <w:rPr>
          <w:rFonts w:ascii="Times New Roman" w:hAnsi="Times New Roman" w:cs="Times New Roman"/>
          <w:b w:val="0"/>
          <w:i/>
          <w:sz w:val="24"/>
        </w:rPr>
        <w:t>harness</w:t>
      </w:r>
      <w:r>
        <w:rPr>
          <w:rFonts w:ascii="Times New Roman" w:hAnsi="Times New Roman" w:cs="Times New Roman"/>
          <w:b w:val="0"/>
          <w:i w:val="0"/>
          <w:sz w:val="24"/>
        </w:rPr>
        <w:t xml:space="preserve"> — e é possível atribuir essa variação a decisões específicas de projeto, em vez de ao conjunto indistinto de diferenças entre implementações independentes?</w:t>
      </w:r>
    </w:p>
    <w:p>
      <w:pPr>
        <w:spacing w:line="360" w:lineRule="auto" w:before="120" w:after="0"/>
        <w:ind w:firstLine="0"/>
      </w:pPr>
      <w:r>
        <w:rPr>
          <w:rFonts w:ascii="Times New Roman" w:hAnsi="Times New Roman" w:cs="Times New Roman"/>
          <w:b/>
          <w:i w:val="0"/>
          <w:sz w:val="24"/>
        </w:rPr>
        <w:t>Hipótese</w:t>
      </w:r>
    </w:p>
    <w:p>
      <w:pPr>
        <w:spacing w:line="360" w:lineRule="auto" w:before="0" w:after="0"/>
        <w:ind w:firstLine="709"/>
        <w:jc w:val="both"/>
      </w:pPr>
      <w:r>
        <w:rPr>
          <w:rFonts w:ascii="Times New Roman" w:hAnsi="Times New Roman" w:cs="Times New Roman"/>
          <w:b/>
          <w:i w:val="0"/>
          <w:sz w:val="24"/>
        </w:rPr>
        <w:t>H1</w:t>
      </w:r>
      <w:r>
        <w:rPr>
          <w:rFonts w:ascii="Times New Roman" w:hAnsi="Times New Roman" w:cs="Times New Roman"/>
          <w:b w:val="0"/>
          <w:i w:val="0"/>
          <w:sz w:val="24"/>
        </w:rPr>
        <w:t xml:space="preserve"> — Entre </w:t>
      </w:r>
      <w:r>
        <w:rPr>
          <w:rFonts w:ascii="Times New Roman" w:hAnsi="Times New Roman" w:cs="Times New Roman"/>
          <w:b w:val="0"/>
          <w:i/>
          <w:sz w:val="24"/>
        </w:rPr>
        <w:t>harnesses</w:t>
      </w:r>
      <w:r>
        <w:rPr>
          <w:rFonts w:ascii="Times New Roman" w:hAnsi="Times New Roman" w:cs="Times New Roman"/>
          <w:b w:val="0"/>
          <w:i w:val="0"/>
          <w:sz w:val="24"/>
        </w:rPr>
        <w:t xml:space="preserve"> distintos executando o mesmo modelo, a diferença de custo por tarefa concluída é de ordem prática relevante, comparável à diferença obtida ao se trocar de modelo sob um </w:t>
      </w:r>
      <w:r>
        <w:rPr>
          <w:rFonts w:ascii="Times New Roman" w:hAnsi="Times New Roman" w:cs="Times New Roman"/>
          <w:b w:val="0"/>
          <w:i/>
          <w:sz w:val="24"/>
        </w:rPr>
        <w:t>harness</w:t>
      </w:r>
      <w:r>
        <w:rPr>
          <w:rFonts w:ascii="Times New Roman" w:hAnsi="Times New Roman" w:cs="Times New Roman"/>
          <w:b w:val="0"/>
          <w:i w:val="0"/>
          <w:sz w:val="24"/>
        </w:rPr>
        <w:t xml:space="preserve"> fixo. H1 é refutada se os intervalos de Succ/Mtok dos braços se sobrepuserem ao longo de toda a suíte.</w:t>
      </w:r>
    </w:p>
    <w:p>
      <w:pPr>
        <w:spacing w:line="360" w:lineRule="auto" w:before="0" w:after="0"/>
        <w:ind w:firstLine="709"/>
        <w:jc w:val="both"/>
      </w:pPr>
      <w:r>
        <w:rPr>
          <w:rFonts w:ascii="Times New Roman" w:hAnsi="Times New Roman" w:cs="Times New Roman"/>
          <w:b/>
          <w:i w:val="0"/>
          <w:sz w:val="24"/>
        </w:rPr>
        <w:t>H2</w:t>
      </w:r>
      <w:r>
        <w:rPr>
          <w:rFonts w:ascii="Times New Roman" w:hAnsi="Times New Roman" w:cs="Times New Roman"/>
          <w:b w:val="0"/>
          <w:i w:val="0"/>
          <w:sz w:val="24"/>
        </w:rPr>
        <w:t xml:space="preserve"> — Essa diferença persiste entre um </w:t>
      </w:r>
      <w:r>
        <w:rPr>
          <w:rFonts w:ascii="Times New Roman" w:hAnsi="Times New Roman" w:cs="Times New Roman"/>
          <w:b w:val="0"/>
          <w:i/>
          <w:sz w:val="24"/>
        </w:rPr>
        <w:t>harness</w:t>
      </w:r>
      <w:r>
        <w:rPr>
          <w:rFonts w:ascii="Times New Roman" w:hAnsi="Times New Roman" w:cs="Times New Roman"/>
          <w:b w:val="0"/>
          <w:i w:val="0"/>
          <w:sz w:val="24"/>
        </w:rPr>
        <w:t xml:space="preserve"> e um </w:t>
      </w:r>
      <w:r>
        <w:rPr>
          <w:rFonts w:ascii="Times New Roman" w:hAnsi="Times New Roman" w:cs="Times New Roman"/>
          <w:b w:val="0"/>
          <w:i/>
          <w:sz w:val="24"/>
        </w:rPr>
        <w:t>fork</w:t>
      </w:r>
      <w:r>
        <w:rPr>
          <w:rFonts w:ascii="Times New Roman" w:hAnsi="Times New Roman" w:cs="Times New Roman"/>
          <w:b w:val="0"/>
          <w:i w:val="0"/>
          <w:sz w:val="24"/>
        </w:rPr>
        <w:t xml:space="preserve"> direto dele, o que indicaria que ela é produzida por decisões de projeto isoláveis — prompt de sistema, número e tamanho dos esquemas de ferramenta, política de compactação de contexto — e não apenas pelo acúmulo de diferenças entre bases de código independentes. H2 é refutada se pi e oh-my-pi não diferirem significativamente em Succ/Mtok, apesar dos 11,4x de diferença na carga da primeira requisição medidos neste projeto. Esse desfecho é possível e seria, ele próprio, um achado a reportar: 11,4x de carga não implicam resultado pior, pois o oh-my-pi pode recuperar o custo concluindo a tarefa em menos passos.</w:t>
      </w:r>
    </w:p>
    <w:p>
      <w:pPr>
        <w:spacing w:line="360" w:lineRule="auto" w:before="120" w:after="0"/>
        <w:ind w:firstLine="0"/>
      </w:pPr>
      <w:r>
        <w:rPr>
          <w:rFonts w:ascii="Times New Roman" w:hAnsi="Times New Roman" w:cs="Times New Roman"/>
          <w:b/>
          <w:i w:val="0"/>
          <w:sz w:val="24"/>
        </w:rPr>
        <w:t>Objetivo geral</w:t>
      </w:r>
    </w:p>
    <w:p>
      <w:pPr>
        <w:spacing w:line="360" w:lineRule="auto" w:before="0" w:after="0"/>
        <w:ind w:firstLine="709"/>
        <w:jc w:val="both"/>
      </w:pPr>
      <w:r>
        <w:rPr>
          <w:rFonts w:ascii="Times New Roman" w:hAnsi="Times New Roman" w:cs="Times New Roman"/>
          <w:b w:val="0"/>
          <w:i w:val="0"/>
          <w:sz w:val="24"/>
        </w:rPr>
        <w:t xml:space="preserve">Medir, com o modelo de linguagem mantido fixo, o efeito do projeto do </w:t>
      </w:r>
      <w:r>
        <w:rPr>
          <w:rFonts w:ascii="Times New Roman" w:hAnsi="Times New Roman" w:cs="Times New Roman"/>
          <w:b w:val="0"/>
          <w:i/>
          <w:sz w:val="24"/>
        </w:rPr>
        <w:t>harness</w:t>
      </w:r>
      <w:r>
        <w:rPr>
          <w:rFonts w:ascii="Times New Roman" w:hAnsi="Times New Roman" w:cs="Times New Roman"/>
          <w:b w:val="0"/>
          <w:i w:val="0"/>
          <w:sz w:val="24"/>
        </w:rPr>
        <w:t xml:space="preserve"> sobre o custo em tokens e a taxa de sucesso de agentes de codificação, isolando decisões específicas de projeto por meio da comparação entre um </w:t>
      </w:r>
      <w:r>
        <w:rPr>
          <w:rFonts w:ascii="Times New Roman" w:hAnsi="Times New Roman" w:cs="Times New Roman"/>
          <w:b w:val="0"/>
          <w:i/>
          <w:sz w:val="24"/>
        </w:rPr>
        <w:t>harness</w:t>
      </w:r>
      <w:r>
        <w:rPr>
          <w:rFonts w:ascii="Times New Roman" w:hAnsi="Times New Roman" w:cs="Times New Roman"/>
          <w:b w:val="0"/>
          <w:i w:val="0"/>
          <w:sz w:val="24"/>
        </w:rPr>
        <w:t xml:space="preserve"> e um </w:t>
      </w:r>
      <w:r>
        <w:rPr>
          <w:rFonts w:ascii="Times New Roman" w:hAnsi="Times New Roman" w:cs="Times New Roman"/>
          <w:b w:val="0"/>
          <w:i/>
          <w:sz w:val="24"/>
        </w:rPr>
        <w:t>fork</w:t>
      </w:r>
      <w:r>
        <w:rPr>
          <w:rFonts w:ascii="Times New Roman" w:hAnsi="Times New Roman" w:cs="Times New Roman"/>
          <w:b w:val="0"/>
          <w:i w:val="0"/>
          <w:sz w:val="24"/>
        </w:rPr>
        <w:t xml:space="preserve"> direto dele.</w:t>
      </w:r>
    </w:p>
    <w:p>
      <w:pPr>
        <w:spacing w:line="360" w:lineRule="auto" w:before="120" w:after="0"/>
        <w:ind w:firstLine="0"/>
      </w:pPr>
      <w:r>
        <w:rPr>
          <w:rFonts w:ascii="Times New Roman" w:hAnsi="Times New Roman" w:cs="Times New Roman"/>
          <w:b/>
          <w:i w:val="0"/>
          <w:sz w:val="24"/>
        </w:rPr>
        <w:t>Objetivos específicos</w:t>
      </w:r>
    </w:p>
    <w:p>
      <w:pPr>
        <w:spacing w:line="360" w:lineRule="auto" w:before="0" w:after="0"/>
        <w:ind w:left="709" w:firstLine="0"/>
        <w:jc w:val="both"/>
      </w:pPr>
      <w:r>
        <w:rPr>
          <w:rFonts w:ascii="Times New Roman" w:hAnsi="Times New Roman" w:cs="Times New Roman"/>
          <w:b w:val="0"/>
          <w:i w:val="0"/>
          <w:sz w:val="24"/>
        </w:rPr>
        <w:t xml:space="preserve">a) Construir um instrumento de medição externo aos </w:t>
      </w:r>
      <w:r>
        <w:rPr>
          <w:rFonts w:ascii="Times New Roman" w:hAnsi="Times New Roman" w:cs="Times New Roman"/>
          <w:b w:val="0"/>
          <w:i/>
          <w:sz w:val="24"/>
        </w:rPr>
        <w:t>harnesses</w:t>
      </w:r>
      <w:r>
        <w:rPr>
          <w:rFonts w:ascii="Times New Roman" w:hAnsi="Times New Roman" w:cs="Times New Roman"/>
          <w:b w:val="0"/>
          <w:i w:val="0"/>
          <w:sz w:val="24"/>
        </w:rPr>
        <w:t>, capaz de contabilizar de forma idêntica, para todos eles, o número de requisições ao modelo, os tokens de entrada e de saída e a latência por requisição.</w:t>
      </w:r>
    </w:p>
    <w:p>
      <w:pPr>
        <w:spacing w:line="360" w:lineRule="auto" w:before="0" w:after="0"/>
        <w:ind w:left="709" w:firstLine="0"/>
        <w:jc w:val="both"/>
      </w:pPr>
      <w:r>
        <w:rPr>
          <w:rFonts w:ascii="Times New Roman" w:hAnsi="Times New Roman" w:cs="Times New Roman"/>
          <w:b w:val="0"/>
          <w:i w:val="0"/>
          <w:sz w:val="24"/>
        </w:rPr>
        <w:t>b) Definir uma suíte de tarefas de programação com objetivos numerados e crédito parcial, acompanhada de um oráculo automatizado independente dos testes produzidos pelo próprio agente.</w:t>
      </w:r>
    </w:p>
    <w:p>
      <w:pPr>
        <w:spacing w:line="360" w:lineRule="auto" w:before="0" w:after="0"/>
        <w:ind w:left="709" w:firstLine="0"/>
        <w:jc w:val="both"/>
      </w:pPr>
      <w:r>
        <w:rPr>
          <w:rFonts w:ascii="Times New Roman" w:hAnsi="Times New Roman" w:cs="Times New Roman"/>
          <w:b w:val="0"/>
          <w:i w:val="0"/>
          <w:sz w:val="24"/>
        </w:rPr>
        <w:t xml:space="preserve">c) Implementar um </w:t>
      </w:r>
      <w:r>
        <w:rPr>
          <w:rFonts w:ascii="Times New Roman" w:hAnsi="Times New Roman" w:cs="Times New Roman"/>
          <w:b w:val="0"/>
          <w:i/>
          <w:sz w:val="24"/>
        </w:rPr>
        <w:t>harness</w:t>
      </w:r>
      <w:r>
        <w:rPr>
          <w:rFonts w:ascii="Times New Roman" w:hAnsi="Times New Roman" w:cs="Times New Roman"/>
          <w:b w:val="0"/>
          <w:i w:val="0"/>
          <w:sz w:val="24"/>
        </w:rPr>
        <w:t xml:space="preserve"> mínimo de referência, em laço ReAct, como controle científico do experimento.</w:t>
      </w:r>
    </w:p>
    <w:p>
      <w:pPr>
        <w:spacing w:line="360" w:lineRule="auto" w:before="0" w:after="0"/>
        <w:ind w:left="709" w:firstLine="0"/>
        <w:jc w:val="both"/>
      </w:pPr>
      <w:r>
        <w:rPr>
          <w:rFonts w:ascii="Times New Roman" w:hAnsi="Times New Roman" w:cs="Times New Roman"/>
          <w:b w:val="0"/>
          <w:i w:val="0"/>
          <w:sz w:val="24"/>
        </w:rPr>
        <w:t xml:space="preserve">d) Executar a mesma suíte, com o mesmo modelo, em todos os </w:t>
      </w:r>
      <w:r>
        <w:rPr>
          <w:rFonts w:ascii="Times New Roman" w:hAnsi="Times New Roman" w:cs="Times New Roman"/>
          <w:b w:val="0"/>
          <w:i/>
          <w:sz w:val="24"/>
        </w:rPr>
        <w:t>harnesses</w:t>
      </w:r>
      <w:r>
        <w:rPr>
          <w:rFonts w:ascii="Times New Roman" w:hAnsi="Times New Roman" w:cs="Times New Roman"/>
          <w:b w:val="0"/>
          <w:i w:val="0"/>
          <w:sz w:val="24"/>
        </w:rPr>
        <w:t xml:space="preserve"> avaliados, repetindo cada condição e reportando dispersão.</w:t>
      </w:r>
    </w:p>
    <w:p>
      <w:pPr>
        <w:spacing w:line="360" w:lineRule="auto" w:before="0" w:after="0"/>
        <w:ind w:left="709" w:firstLine="0"/>
        <w:jc w:val="both"/>
      </w:pPr>
      <w:r>
        <w:rPr>
          <w:rFonts w:ascii="Times New Roman" w:hAnsi="Times New Roman" w:cs="Times New Roman"/>
          <w:b w:val="0"/>
          <w:i w:val="0"/>
          <w:sz w:val="24"/>
        </w:rPr>
        <w:t xml:space="preserve">e) Repetir o experimento em um segundo modelo, verificando se a ordenação entre </w:t>
      </w:r>
      <w:r>
        <w:rPr>
          <w:rFonts w:ascii="Times New Roman" w:hAnsi="Times New Roman" w:cs="Times New Roman"/>
          <w:b w:val="0"/>
          <w:i/>
          <w:sz w:val="24"/>
        </w:rPr>
        <w:t>harnesses</w:t>
      </w:r>
      <w:r>
        <w:rPr>
          <w:rFonts w:ascii="Times New Roman" w:hAnsi="Times New Roman" w:cs="Times New Roman"/>
          <w:b w:val="0"/>
          <w:i w:val="0"/>
          <w:sz w:val="24"/>
        </w:rPr>
        <w:t xml:space="preserve"> se mantém ou se inverte.</w:t>
      </w:r>
    </w:p>
    <w:p>
      <w:pPr>
        <w:spacing w:line="360" w:lineRule="auto" w:before="0" w:after="0"/>
        <w:ind w:left="709" w:firstLine="0"/>
        <w:jc w:val="both"/>
      </w:pPr>
      <w:r>
        <w:rPr>
          <w:rFonts w:ascii="Times New Roman" w:hAnsi="Times New Roman" w:cs="Times New Roman"/>
          <w:b w:val="0"/>
          <w:i w:val="0"/>
          <w:sz w:val="24"/>
        </w:rPr>
        <w:t xml:space="preserve">f) Quantificar a divergência entre o custo relatado por cada </w:t>
      </w:r>
      <w:r>
        <w:rPr>
          <w:rFonts w:ascii="Times New Roman" w:hAnsi="Times New Roman" w:cs="Times New Roman"/>
          <w:b w:val="0"/>
          <w:i/>
          <w:sz w:val="24"/>
        </w:rPr>
        <w:t>harness</w:t>
      </w:r>
      <w:r>
        <w:rPr>
          <w:rFonts w:ascii="Times New Roman" w:hAnsi="Times New Roman" w:cs="Times New Roman"/>
          <w:b w:val="0"/>
          <w:i w:val="0"/>
          <w:sz w:val="24"/>
        </w:rPr>
        <w:t xml:space="preserve"> e o custo efetivamente medido no instrumento externo.</w:t>
      </w:r>
    </w:p>
    <w:p>
      <w:pPr>
        <w:spacing w:line="360" w:lineRule="auto" w:before="0" w:after="0"/>
        <w:ind w:left="709" w:firstLine="0"/>
        <w:jc w:val="both"/>
      </w:pPr>
      <w:r>
        <w:rPr>
          <w:rFonts w:ascii="Times New Roman" w:hAnsi="Times New Roman" w:cs="Times New Roman"/>
          <w:b w:val="0"/>
          <w:i w:val="0"/>
          <w:sz w:val="24"/>
        </w:rPr>
        <w:t xml:space="preserve">g) Publicar o </w:t>
      </w:r>
      <w:r>
        <w:rPr>
          <w:rFonts w:ascii="Times New Roman" w:hAnsi="Times New Roman" w:cs="Times New Roman"/>
          <w:b w:val="0"/>
          <w:i/>
          <w:sz w:val="24"/>
        </w:rPr>
        <w:t>runner</w:t>
      </w:r>
      <w:r>
        <w:rPr>
          <w:rFonts w:ascii="Times New Roman" w:hAnsi="Times New Roman" w:cs="Times New Roman"/>
          <w:b w:val="0"/>
          <w:i w:val="0"/>
          <w:sz w:val="24"/>
        </w:rPr>
        <w:t>, os dados brutos e os scripts de análise, de modo que o experimento possa ser reexecutado a custo monetário zero.</w:t>
      </w:r>
    </w:p>
    <w:p>
      <w:pPr>
        <w:spacing w:line="360" w:lineRule="auto" w:before="0" w:after="0"/>
        <w:ind w:firstLine="709"/>
        <w:jc w:val="both"/>
      </w:pPr>
      <w:r>
        <w:rPr>
          <w:rFonts w:ascii="Times New Roman" w:hAnsi="Times New Roman" w:cs="Times New Roman"/>
          <w:b w:val="0"/>
          <w:i w:val="0"/>
          <w:sz w:val="24"/>
        </w:rPr>
        <w:t>Este trabalho está organizado em seis seções. Esta introdução apresenta a justificativa, o tema, o problema, as hipóteses e os objetivos. A seção 2 posiciona o trabalho na literatura e delimita as pendências que ele se propõe a resolver. A seção 3 descreve o material e o método — classificação da pesquisa, camadas de medição, braços, suíte de tarefas, limites, tratamento estatístico, resultados preliminares do instrumento e limitações. A seção 4 apresenta o orçamento, a seção 5 o cronograma, e a seção 6 reúne as referências.</w:t>
      </w:r>
    </w:p>
    <w:p>
      <w:pPr>
        <w:keepNext/>
        <w:spacing w:line="360" w:lineRule="auto" w:before="240" w:after="120"/>
        <w:ind w:firstLine="0"/>
      </w:pPr>
      <w:r>
        <w:rPr>
          <w:rFonts w:ascii="Times New Roman" w:hAnsi="Times New Roman" w:cs="Times New Roman"/>
          <w:b/>
          <w:i w:val="0"/>
          <w:sz w:val="28"/>
        </w:rPr>
        <w:t>2 REFERENCIAL TEÓRICO</w:t>
      </w:r>
    </w:p>
    <w:p>
      <w:pPr>
        <w:spacing w:line="360" w:lineRule="auto" w:before="0" w:after="0"/>
        <w:ind w:firstLine="709"/>
        <w:jc w:val="both"/>
      </w:pPr>
      <w:r>
        <w:rPr>
          <w:rFonts w:ascii="Times New Roman" w:hAnsi="Times New Roman" w:cs="Times New Roman"/>
          <w:b w:val="0"/>
          <w:i w:val="0"/>
          <w:sz w:val="24"/>
        </w:rPr>
        <w:t xml:space="preserve">Adota-se a definição de Ning et al. (2026): um </w:t>
      </w:r>
      <w:r>
        <w:rPr>
          <w:rFonts w:ascii="Times New Roman" w:hAnsi="Times New Roman" w:cs="Times New Roman"/>
          <w:b w:val="0"/>
          <w:i/>
          <w:sz w:val="24"/>
        </w:rPr>
        <w:t>agent harness</w:t>
      </w:r>
      <w:r>
        <w:rPr>
          <w:rFonts w:ascii="Times New Roman" w:hAnsi="Times New Roman" w:cs="Times New Roman"/>
          <w:b w:val="0"/>
          <w:i w:val="0"/>
          <w:sz w:val="24"/>
        </w:rPr>
        <w:t xml:space="preserve"> é a camada de software que envolve um modelo de linguagem com ferramentas, APIs, </w:t>
      </w:r>
      <w:r>
        <w:rPr>
          <w:rFonts w:ascii="Times New Roman" w:hAnsi="Times New Roman" w:cs="Times New Roman"/>
          <w:b w:val="0"/>
          <w:i/>
          <w:sz w:val="24"/>
        </w:rPr>
        <w:t>sandboxes</w:t>
      </w:r>
      <w:r>
        <w:rPr>
          <w:rFonts w:ascii="Times New Roman" w:hAnsi="Times New Roman" w:cs="Times New Roman"/>
          <w:b w:val="0"/>
          <w:i w:val="0"/>
          <w:sz w:val="24"/>
        </w:rPr>
        <w:t xml:space="preserve">, memória, validadores, fronteiras de permissão, laços de execução e canais de realimentação, convertendo um modelo sem estado em um agente capaz de executar tarefas de longo horizonte (tradução nossa). Os mesmos autores separam capacidades internas do modelo, infraestrutura de </w:t>
      </w:r>
      <w:r>
        <w:rPr>
          <w:rFonts w:ascii="Times New Roman" w:hAnsi="Times New Roman" w:cs="Times New Roman"/>
          <w:b w:val="0"/>
          <w:i/>
          <w:sz w:val="24"/>
        </w:rPr>
        <w:t>harness</w:t>
      </w:r>
      <w:r>
        <w:rPr>
          <w:rFonts w:ascii="Times New Roman" w:hAnsi="Times New Roman" w:cs="Times New Roman"/>
          <w:b w:val="0"/>
          <w:i w:val="0"/>
          <w:sz w:val="24"/>
        </w:rPr>
        <w:t xml:space="preserve"> e artefatos de código criados pelo agente; o recorte aqui é o do meio, com as capacidades internas constantes. Os braços vão de um laço ReAct mínimo (Yao et al., 2022) a implementações com planejamento, compactação e subagentes.</w:t>
      </w:r>
    </w:p>
    <w:p>
      <w:pPr>
        <w:spacing w:line="360" w:lineRule="auto" w:before="0" w:after="0"/>
        <w:ind w:firstLine="709"/>
        <w:jc w:val="both"/>
      </w:pPr>
      <w:r>
        <w:rPr>
          <w:rFonts w:ascii="Times New Roman" w:hAnsi="Times New Roman" w:cs="Times New Roman"/>
          <w:b w:val="0"/>
          <w:i w:val="0"/>
          <w:sz w:val="24"/>
        </w:rPr>
        <w:t xml:space="preserve">Que o </w:t>
      </w:r>
      <w:r>
        <w:rPr>
          <w:rFonts w:ascii="Times New Roman" w:hAnsi="Times New Roman" w:cs="Times New Roman"/>
          <w:b w:val="0"/>
          <w:i/>
          <w:sz w:val="24"/>
        </w:rPr>
        <w:t>harness</w:t>
      </w:r>
      <w:r>
        <w:rPr>
          <w:rFonts w:ascii="Times New Roman" w:hAnsi="Times New Roman" w:cs="Times New Roman"/>
          <w:b w:val="0"/>
          <w:i w:val="0"/>
          <w:sz w:val="24"/>
        </w:rPr>
        <w:t xml:space="preserve"> importa já está estabelecido, e este trabalho se posiciona em relação a isso em vez de redescobri-lo. Lin et al. (2026) medem 24,7 pontos percentuais de dispersão entre </w:t>
      </w:r>
      <w:r>
        <w:rPr>
          <w:rFonts w:ascii="Times New Roman" w:hAnsi="Times New Roman" w:cs="Times New Roman"/>
          <w:b w:val="0"/>
          <w:i/>
          <w:sz w:val="24"/>
        </w:rPr>
        <w:t>harnesses</w:t>
      </w:r>
      <w:r>
        <w:rPr>
          <w:rFonts w:ascii="Times New Roman" w:hAnsi="Times New Roman" w:cs="Times New Roman"/>
          <w:b w:val="0"/>
          <w:i w:val="0"/>
          <w:sz w:val="24"/>
        </w:rPr>
        <w:t xml:space="preserve"> humanos sobre um modelo congelado, contra linhas de base de 36,5% a 56,2% obtidas trocando o modelo — dispersões da mesma ordem. Zhang et al. (2026) enunciam a </w:t>
      </w:r>
      <w:r>
        <w:rPr>
          <w:rFonts w:ascii="Times New Roman" w:hAnsi="Times New Roman" w:cs="Times New Roman"/>
          <w:b w:val="0"/>
          <w:i/>
          <w:sz w:val="24"/>
        </w:rPr>
        <w:t>Binding Constraint Thesis</w:t>
      </w:r>
      <w:r>
        <w:rPr>
          <w:rFonts w:ascii="Times New Roman" w:hAnsi="Times New Roman" w:cs="Times New Roman"/>
          <w:b w:val="0"/>
          <w:i w:val="0"/>
          <w:sz w:val="24"/>
        </w:rPr>
        <w:t xml:space="preserve">: em longo horizonte, o </w:t>
      </w:r>
      <w:r>
        <w:rPr>
          <w:rFonts w:ascii="Times New Roman" w:hAnsi="Times New Roman" w:cs="Times New Roman"/>
          <w:b w:val="0"/>
          <w:i/>
          <w:sz w:val="24"/>
        </w:rPr>
        <w:t>harness</w:t>
      </w:r>
      <w:r>
        <w:rPr>
          <w:rFonts w:ascii="Times New Roman" w:hAnsi="Times New Roman" w:cs="Times New Roman"/>
          <w:b w:val="0"/>
          <w:i w:val="0"/>
          <w:sz w:val="24"/>
        </w:rPr>
        <w:t xml:space="preserve"> determina o desempenho mais que o modelo que encapsula. Somam-se duas fontes de prática: o HarnessRank (2026) e o estudo da Databricks relatado por Earendil (2026), com custo por tarefa variando mais de 2x a qualidade igual ou melhor.</w:t>
      </w:r>
    </w:p>
    <w:p>
      <w:pPr>
        <w:spacing w:line="360" w:lineRule="auto" w:before="0" w:after="0"/>
        <w:ind w:firstLine="709"/>
        <w:jc w:val="both"/>
      </w:pPr>
      <w:r>
        <w:rPr>
          <w:rFonts w:ascii="Times New Roman" w:hAnsi="Times New Roman" w:cs="Times New Roman"/>
          <w:b w:val="0"/>
          <w:i w:val="0"/>
          <w:sz w:val="24"/>
        </w:rPr>
        <w:t xml:space="preserve">A primeira pendência é de atribuição: toda comparação publicada contrasta </w:t>
      </w:r>
      <w:r>
        <w:rPr>
          <w:rFonts w:ascii="Times New Roman" w:hAnsi="Times New Roman" w:cs="Times New Roman"/>
          <w:b w:val="0"/>
          <w:i/>
          <w:sz w:val="24"/>
        </w:rPr>
        <w:t>harnesses</w:t>
      </w:r>
      <w:r>
        <w:rPr>
          <w:rFonts w:ascii="Times New Roman" w:hAnsi="Times New Roman" w:cs="Times New Roman"/>
          <w:b w:val="0"/>
          <w:i w:val="0"/>
          <w:sz w:val="24"/>
        </w:rPr>
        <w:t xml:space="preserve"> de equipes diferentes sobre fundações diferentes, e a dispersão medida agrega prompt, ferramentas, gestão de contexto e desenho do laço sem separá-los. Ning et al. (2026) nomeiam a lacuna em §5.2.3 e pedem, em §5.2.7, métricas que isolem componentes. O par pi / oh-my-pi responde a §5.2.7: um </w:t>
      </w:r>
      <w:r>
        <w:rPr>
          <w:rFonts w:ascii="Times New Roman" w:hAnsi="Times New Roman" w:cs="Times New Roman"/>
          <w:b w:val="0"/>
          <w:i/>
          <w:sz w:val="24"/>
        </w:rPr>
        <w:t>fork</w:t>
      </w:r>
      <w:r>
        <w:rPr>
          <w:rFonts w:ascii="Times New Roman" w:hAnsi="Times New Roman" w:cs="Times New Roman"/>
          <w:b w:val="0"/>
          <w:i w:val="0"/>
          <w:sz w:val="24"/>
        </w:rPr>
        <w:t xml:space="preserve"> direto mantém a linhagem fixa e faz variar apenas as modificações.</w:t>
      </w:r>
    </w:p>
    <w:p>
      <w:pPr>
        <w:spacing w:line="360" w:lineRule="auto" w:before="0" w:after="0"/>
        <w:ind w:firstLine="709"/>
        <w:jc w:val="both"/>
      </w:pPr>
      <w:r>
        <w:rPr>
          <w:rFonts w:ascii="Times New Roman" w:hAnsi="Times New Roman" w:cs="Times New Roman"/>
          <w:b w:val="0"/>
          <w:i w:val="0"/>
          <w:sz w:val="24"/>
        </w:rPr>
        <w:t xml:space="preserve">A segunda é de instrumentação: o que um </w:t>
      </w:r>
      <w:r>
        <w:rPr>
          <w:rFonts w:ascii="Times New Roman" w:hAnsi="Times New Roman" w:cs="Times New Roman"/>
          <w:b w:val="0"/>
          <w:i/>
          <w:sz w:val="24"/>
        </w:rPr>
        <w:t>harness</w:t>
      </w:r>
      <w:r>
        <w:rPr>
          <w:rFonts w:ascii="Times New Roman" w:hAnsi="Times New Roman" w:cs="Times New Roman"/>
          <w:b w:val="0"/>
          <w:i w:val="0"/>
          <w:sz w:val="24"/>
        </w:rPr>
        <w:t xml:space="preserve"> relata sobre o próprio custo diverge do que ele gasta. Cada um omite do relatório um conjunto diferente de chamadas reais ao modelo, e um </w:t>
      </w:r>
      <w:r>
        <w:rPr>
          <w:rFonts w:ascii="Times New Roman" w:hAnsi="Times New Roman" w:cs="Times New Roman"/>
          <w:b w:val="0"/>
          <w:i/>
          <w:sz w:val="24"/>
        </w:rPr>
        <w:t>benchmark</w:t>
      </w:r>
      <w:r>
        <w:rPr>
          <w:rFonts w:ascii="Times New Roman" w:hAnsi="Times New Roman" w:cs="Times New Roman"/>
          <w:b w:val="0"/>
          <w:i w:val="0"/>
          <w:sz w:val="24"/>
        </w:rPr>
        <w:t xml:space="preserve"> de produção subestimou custo em 40 a 90 vezes durante meses assim (Akita, 2026). Daí medir em proxy externo; quantificar a divergência é o objetivo (f).</w:t>
      </w:r>
    </w:p>
    <w:p>
      <w:pPr>
        <w:spacing w:line="360" w:lineRule="auto" w:before="0" w:after="0"/>
        <w:ind w:firstLine="709"/>
        <w:jc w:val="both"/>
      </w:pPr>
      <w:r>
        <w:rPr>
          <w:rFonts w:ascii="Times New Roman" w:hAnsi="Times New Roman" w:cs="Times New Roman"/>
          <w:b w:val="0"/>
          <w:i w:val="0"/>
          <w:sz w:val="24"/>
        </w:rPr>
        <w:t xml:space="preserve">A métrica primária é Succ/Mtok — sucesso por milhão de tokens —, de Lin et al. (2026). Sobre ela pesa uma ressalva permanente: o efeito é específico do modelo e pode inverter de sinal — uma única mudança de </w:t>
      </w:r>
      <w:r>
        <w:rPr>
          <w:rFonts w:ascii="Times New Roman" w:hAnsi="Times New Roman" w:cs="Times New Roman"/>
          <w:b w:val="0"/>
          <w:i/>
          <w:sz w:val="24"/>
        </w:rPr>
        <w:t>scaffolding</w:t>
      </w:r>
      <w:r>
        <w:rPr>
          <w:rFonts w:ascii="Times New Roman" w:hAnsi="Times New Roman" w:cs="Times New Roman"/>
          <w:b w:val="0"/>
          <w:i w:val="0"/>
          <w:sz w:val="24"/>
        </w:rPr>
        <w:t xml:space="preserve"> moveu escores em +67, −39, −22 e +1 pontos em quatro modelos (Akita, 2026). Por isso o desenho carrega dois níveis e enuncia as conclusões por nível, nunca de forma global.</w:t>
      </w:r>
    </w:p>
    <w:p>
      <w:pPr>
        <w:keepNext/>
        <w:spacing w:line="360" w:lineRule="auto" w:before="240" w:after="120"/>
        <w:ind w:firstLine="0"/>
      </w:pPr>
      <w:r>
        <w:rPr>
          <w:rFonts w:ascii="Times New Roman" w:hAnsi="Times New Roman" w:cs="Times New Roman"/>
          <w:b/>
          <w:i w:val="0"/>
          <w:sz w:val="28"/>
        </w:rPr>
        <w:t>3 MATERIAL E MÉTODO</w:t>
      </w:r>
    </w:p>
    <w:p>
      <w:pPr>
        <w:spacing w:line="360" w:lineRule="auto" w:before="0" w:after="0"/>
        <w:ind w:firstLine="709"/>
        <w:jc w:val="both"/>
      </w:pPr>
      <w:r>
        <w:rPr>
          <w:rFonts w:ascii="Times New Roman" w:hAnsi="Times New Roman" w:cs="Times New Roman"/>
          <w:b w:val="0"/>
          <w:i w:val="0"/>
          <w:sz w:val="24"/>
        </w:rPr>
        <w:t xml:space="preserve">Quanto à finalidade, esta é uma pesquisa </w:t>
      </w:r>
      <w:r>
        <w:rPr>
          <w:rFonts w:ascii="Times New Roman" w:hAnsi="Times New Roman" w:cs="Times New Roman"/>
          <w:b/>
          <w:i w:val="0"/>
          <w:sz w:val="24"/>
        </w:rPr>
        <w:t>aplicada</w:t>
      </w:r>
      <w:r>
        <w:rPr>
          <w:rFonts w:ascii="Times New Roman" w:hAnsi="Times New Roman" w:cs="Times New Roman"/>
          <w:b w:val="0"/>
          <w:i w:val="0"/>
          <w:sz w:val="24"/>
        </w:rPr>
        <w:t xml:space="preserve">: seu produto é uma decisão de engenharia que um desenvolvedor pode tomar hoje. Quanto à abordagem, é </w:t>
      </w:r>
      <w:r>
        <w:rPr>
          <w:rFonts w:ascii="Times New Roman" w:hAnsi="Times New Roman" w:cs="Times New Roman"/>
          <w:b/>
          <w:i w:val="0"/>
          <w:sz w:val="24"/>
        </w:rPr>
        <w:t>quali-quantitativa</w:t>
      </w:r>
      <w:r>
        <w:rPr>
          <w:rFonts w:ascii="Times New Roman" w:hAnsi="Times New Roman" w:cs="Times New Roman"/>
          <w:b w:val="0"/>
          <w:i w:val="0"/>
          <w:sz w:val="24"/>
        </w:rPr>
        <w:t xml:space="preserve">: as medidas de custo e de sucesso são quantitativas, e a atribuição de cada diferença a uma decisão de projeto do </w:t>
      </w:r>
      <w:r>
        <w:rPr>
          <w:rFonts w:ascii="Times New Roman" w:hAnsi="Times New Roman" w:cs="Times New Roman"/>
          <w:b w:val="0"/>
          <w:i/>
          <w:sz w:val="24"/>
        </w:rPr>
        <w:t>harness</w:t>
      </w:r>
      <w:r>
        <w:rPr>
          <w:rFonts w:ascii="Times New Roman" w:hAnsi="Times New Roman" w:cs="Times New Roman"/>
          <w:b w:val="0"/>
          <w:i w:val="0"/>
          <w:sz w:val="24"/>
        </w:rPr>
        <w:t xml:space="preserve"> é qualitativa. Quanto aos objetivos, é </w:t>
      </w:r>
      <w:r>
        <w:rPr>
          <w:rFonts w:ascii="Times New Roman" w:hAnsi="Times New Roman" w:cs="Times New Roman"/>
          <w:b/>
          <w:i w:val="0"/>
          <w:sz w:val="24"/>
        </w:rPr>
        <w:t>exploratória</w:t>
      </w:r>
      <w:r>
        <w:rPr>
          <w:rFonts w:ascii="Times New Roman" w:hAnsi="Times New Roman" w:cs="Times New Roman"/>
          <w:b w:val="0"/>
          <w:i w:val="0"/>
          <w:sz w:val="24"/>
        </w:rPr>
        <w:t xml:space="preserve">, porque a comparação com linhagem de </w:t>
      </w:r>
      <w:r>
        <w:rPr>
          <w:rFonts w:ascii="Times New Roman" w:hAnsi="Times New Roman" w:cs="Times New Roman"/>
          <w:b w:val="0"/>
          <w:i/>
          <w:sz w:val="24"/>
        </w:rPr>
        <w:t>harness</w:t>
      </w:r>
      <w:r>
        <w:rPr>
          <w:rFonts w:ascii="Times New Roman" w:hAnsi="Times New Roman" w:cs="Times New Roman"/>
          <w:b w:val="0"/>
          <w:i w:val="0"/>
          <w:sz w:val="24"/>
        </w:rPr>
        <w:t xml:space="preserve"> fixa não tem precedente publicado. Quanto aos procedimentos, é </w:t>
      </w:r>
      <w:r>
        <w:rPr>
          <w:rFonts w:ascii="Times New Roman" w:hAnsi="Times New Roman" w:cs="Times New Roman"/>
          <w:b/>
          <w:i w:val="0"/>
          <w:sz w:val="24"/>
        </w:rPr>
        <w:t>experimental</w:t>
      </w:r>
      <w:r>
        <w:rPr>
          <w:rFonts w:ascii="Times New Roman" w:hAnsi="Times New Roman" w:cs="Times New Roman"/>
          <w:b w:val="0"/>
          <w:i w:val="0"/>
          <w:sz w:val="24"/>
        </w:rPr>
        <w:t xml:space="preserve">: há variável independente manipulada — o </w:t>
      </w:r>
      <w:r>
        <w:rPr>
          <w:rFonts w:ascii="Times New Roman" w:hAnsi="Times New Roman" w:cs="Times New Roman"/>
          <w:b w:val="0"/>
          <w:i/>
          <w:sz w:val="24"/>
        </w:rPr>
        <w:t>harness</w:t>
      </w:r>
      <w:r>
        <w:rPr>
          <w:rFonts w:ascii="Times New Roman" w:hAnsi="Times New Roman" w:cs="Times New Roman"/>
          <w:b w:val="0"/>
          <w:i w:val="0"/>
          <w:sz w:val="24"/>
        </w:rPr>
        <w:t xml:space="preserve"> —, variáveis controladas — modelo, tarefa e limites — e um grupo de controle (Gil, 2022; Prodanov; Freitas, 2013).</w:t>
      </w:r>
    </w:p>
    <w:p>
      <w:pPr>
        <w:spacing w:line="360" w:lineRule="auto" w:before="0" w:after="0"/>
        <w:ind w:firstLine="709"/>
        <w:jc w:val="both"/>
      </w:pPr>
      <w:r>
        <w:rPr>
          <w:rFonts w:ascii="Times New Roman" w:hAnsi="Times New Roman" w:cs="Times New Roman"/>
          <w:b w:val="0"/>
          <w:i w:val="0"/>
          <w:sz w:val="24"/>
        </w:rPr>
        <w:t xml:space="preserve">A medição ocorre em duas camadas, reportadas separadamente e nunca combinadas em um único número. A Camada 1 mede a forma da requisição contra um endpoint simulado que jamais encaminha nada ao modelo: não consome cota, é determinística e nomeia o mecanismo. A Camada 2 mede o desfecho das tarefas contra o modelo real: consome cota, é estocástica e mostra o efeito. Um </w:t>
      </w:r>
      <w:r>
        <w:rPr>
          <w:rFonts w:ascii="Times New Roman" w:hAnsi="Times New Roman" w:cs="Times New Roman"/>
          <w:b w:val="0"/>
          <w:i/>
          <w:sz w:val="24"/>
        </w:rPr>
        <w:t>harness</w:t>
      </w:r>
      <w:r>
        <w:rPr>
          <w:rFonts w:ascii="Times New Roman" w:hAnsi="Times New Roman" w:cs="Times New Roman"/>
          <w:b w:val="0"/>
          <w:i w:val="0"/>
          <w:sz w:val="24"/>
        </w:rPr>
        <w:t xml:space="preserve"> que envia 11,4x os bytes não é, por isso, 11,4x pior — fundir as duas camadas afirmaria essa implicação.</w:t>
      </w:r>
    </w:p>
    <w:p>
      <w:pPr>
        <w:spacing w:line="360" w:lineRule="auto" w:before="0" w:after="0"/>
        <w:ind w:firstLine="709"/>
        <w:jc w:val="both"/>
      </w:pPr>
      <w:r>
        <w:rPr>
          <w:rFonts w:ascii="Times New Roman" w:hAnsi="Times New Roman" w:cs="Times New Roman"/>
          <w:b w:val="0"/>
          <w:i w:val="0"/>
          <w:sz w:val="24"/>
        </w:rPr>
        <w:t xml:space="preserve">O conjunto de braços é provisório até o fechamento das verificações de confiabilidade e é citado aqui como tal: o </w:t>
      </w:r>
      <w:r>
        <w:rPr>
          <w:rFonts w:ascii="Times New Roman" w:hAnsi="Times New Roman" w:cs="Times New Roman"/>
          <w:b w:val="0"/>
          <w:i/>
          <w:sz w:val="24"/>
        </w:rPr>
        <w:t>harness</w:t>
      </w:r>
      <w:r>
        <w:rPr>
          <w:rFonts w:ascii="Times New Roman" w:hAnsi="Times New Roman" w:cs="Times New Roman"/>
          <w:b w:val="0"/>
          <w:i w:val="0"/>
          <w:sz w:val="24"/>
        </w:rPr>
        <w:t xml:space="preserve"> zero, o conjunto de implementações de terceiros e o par de destaque pi / oh-my-pi. O </w:t>
      </w:r>
      <w:r>
        <w:rPr>
          <w:rFonts w:ascii="Times New Roman" w:hAnsi="Times New Roman" w:cs="Times New Roman"/>
          <w:b w:val="0"/>
          <w:i/>
          <w:sz w:val="24"/>
        </w:rPr>
        <w:t>harness</w:t>
      </w:r>
      <w:r>
        <w:rPr>
          <w:rFonts w:ascii="Times New Roman" w:hAnsi="Times New Roman" w:cs="Times New Roman"/>
          <w:b w:val="0"/>
          <w:i w:val="0"/>
          <w:sz w:val="24"/>
        </w:rPr>
        <w:t xml:space="preserve"> zero é o controle científico e o único braço que este projeto escreve — um laço observar/agir com três ferramentas (leitura de arquivo, escrita de arquivo e execução de comandos), sem planejamento, compactação de contexto, repetição automática de requisições ou qualquer chamada auxiliar ao modelo, mantido abaixo de 400 linhas de Python por um portão de integração contínua. Ele responde quanto qualquer </w:t>
      </w:r>
      <w:r>
        <w:rPr>
          <w:rFonts w:ascii="Times New Roman" w:hAnsi="Times New Roman" w:cs="Times New Roman"/>
          <w:b w:val="0"/>
          <w:i/>
          <w:sz w:val="24"/>
        </w:rPr>
        <w:t>harness</w:t>
      </w:r>
      <w:r>
        <w:rPr>
          <w:rFonts w:ascii="Times New Roman" w:hAnsi="Times New Roman" w:cs="Times New Roman"/>
          <w:b w:val="0"/>
          <w:i w:val="0"/>
          <w:sz w:val="24"/>
        </w:rPr>
        <w:t xml:space="preserve"> acrescenta sobre o laço mais cru capaz de concluir a tarefa.</w:t>
      </w:r>
    </w:p>
    <w:p>
      <w:pPr>
        <w:spacing w:line="360" w:lineRule="auto" w:before="0" w:after="0"/>
        <w:ind w:firstLine="709"/>
        <w:jc w:val="both"/>
      </w:pPr>
      <w:r>
        <w:rPr>
          <w:rFonts w:ascii="Times New Roman" w:hAnsi="Times New Roman" w:cs="Times New Roman"/>
          <w:b w:val="0"/>
          <w:i w:val="0"/>
          <w:sz w:val="24"/>
        </w:rPr>
        <w:t xml:space="preserve">A suíte é composta por 8 tarefas Python do DeepSWE (Huang et al., 2026), congeladas na adoção e fixadas por </w:t>
      </w:r>
      <w:r>
        <w:rPr>
          <w:rFonts w:ascii="Times New Roman" w:hAnsi="Times New Roman" w:cs="Times New Roman"/>
          <w:b w:val="0"/>
          <w:i/>
          <w:sz w:val="24"/>
        </w:rPr>
        <w:t>commit</w:t>
      </w:r>
      <w:r>
        <w:rPr>
          <w:rFonts w:ascii="Times New Roman" w:hAnsi="Times New Roman" w:cs="Times New Roman"/>
          <w:b w:val="0"/>
          <w:i w:val="0"/>
          <w:sz w:val="24"/>
        </w:rPr>
        <w:t xml:space="preserve"> e por </w:t>
      </w:r>
      <w:r>
        <w:rPr>
          <w:rFonts w:ascii="Times New Roman" w:hAnsi="Times New Roman" w:cs="Times New Roman"/>
          <w:b w:val="0"/>
          <w:i/>
          <w:sz w:val="24"/>
        </w:rPr>
        <w:t>hash</w:t>
      </w:r>
      <w:r>
        <w:rPr>
          <w:rFonts w:ascii="Times New Roman" w:hAnsi="Times New Roman" w:cs="Times New Roman"/>
          <w:b w:val="0"/>
          <w:i w:val="0"/>
          <w:sz w:val="24"/>
        </w:rPr>
        <w:t xml:space="preserve"> SHA-256 de cada tarefa. São tarefas de implementação de longo horizonte sobre repositórios reais: o </w:t>
      </w:r>
      <w:r>
        <w:rPr>
          <w:rFonts w:ascii="Times New Roman" w:hAnsi="Times New Roman" w:cs="Times New Roman"/>
          <w:b w:val="0"/>
          <w:i/>
          <w:sz w:val="24"/>
        </w:rPr>
        <w:t>benchmark</w:t>
      </w:r>
      <w:r>
        <w:rPr>
          <w:rFonts w:ascii="Times New Roman" w:hAnsi="Times New Roman" w:cs="Times New Roman"/>
          <w:b w:val="0"/>
          <w:i w:val="0"/>
          <w:sz w:val="24"/>
        </w:rPr>
        <w:t xml:space="preserve"> completo tem 113 tarefas sobre 91 repositórios, com soluções de referência de 526 a 847 linhas em 3 a 17 arquivos — outra ordem de grandeza ante o SWE-bench (Jimenez et al., 2023). A pontuação é o crédito parcial, a fração de testes aprovados, e não o resultado binário: modelos da classe </w:t>
      </w:r>
      <w:r>
        <w:rPr>
          <w:rFonts w:ascii="Times New Roman" w:hAnsi="Times New Roman" w:cs="Times New Roman"/>
          <w:b w:val="0"/>
          <w:i/>
          <w:sz w:val="24"/>
        </w:rPr>
        <w:t>flash</w:t>
      </w:r>
      <w:r>
        <w:rPr>
          <w:rFonts w:ascii="Times New Roman" w:hAnsi="Times New Roman" w:cs="Times New Roman"/>
          <w:b w:val="0"/>
          <w:i w:val="0"/>
          <w:sz w:val="24"/>
        </w:rPr>
        <w:t xml:space="preserve"> marcaram de 0% a 36% na primeira versão do </w:t>
      </w:r>
      <w:r>
        <w:rPr>
          <w:rFonts w:ascii="Times New Roman" w:hAnsi="Times New Roman" w:cs="Times New Roman"/>
          <w:b w:val="0"/>
          <w:i/>
          <w:sz w:val="24"/>
        </w:rPr>
        <w:t>benchmark</w:t>
      </w:r>
      <w:r>
        <w:rPr>
          <w:rFonts w:ascii="Times New Roman" w:hAnsi="Times New Roman" w:cs="Times New Roman"/>
          <w:b w:val="0"/>
          <w:i w:val="0"/>
          <w:sz w:val="24"/>
        </w:rPr>
        <w:t>, e um escore binário leria zero para todos os braços, sem discriminar nenhum.</w:t>
      </w:r>
    </w:p>
    <w:p>
      <w:pPr>
        <w:spacing w:line="360" w:lineRule="auto" w:before="0" w:after="0"/>
        <w:ind w:firstLine="709"/>
        <w:jc w:val="both"/>
      </w:pPr>
      <w:r>
        <w:rPr>
          <w:rFonts w:ascii="Times New Roman" w:hAnsi="Times New Roman" w:cs="Times New Roman"/>
          <w:b w:val="0"/>
          <w:i w:val="0"/>
          <w:sz w:val="24"/>
        </w:rPr>
        <w:t xml:space="preserve">São dois níveis de modelo, ambos gratuitos e no mesmo gateway (Opencode, 2026), reportados separadamente e jamais promediados: um primário e um de robustez. Existe porque o efeito do </w:t>
      </w:r>
      <w:r>
        <w:rPr>
          <w:rFonts w:ascii="Times New Roman" w:hAnsi="Times New Roman" w:cs="Times New Roman"/>
          <w:b w:val="0"/>
          <w:i/>
          <w:sz w:val="24"/>
        </w:rPr>
        <w:t>harness</w:t>
      </w:r>
      <w:r>
        <w:rPr>
          <w:rFonts w:ascii="Times New Roman" w:hAnsi="Times New Roman" w:cs="Times New Roman"/>
          <w:b w:val="0"/>
          <w:i w:val="0"/>
          <w:sz w:val="24"/>
        </w:rPr>
        <w:t xml:space="preserve"> é específico do modelo; se a ordenação entre braços se inverter entre os níveis, a inversão é o resultado, e não ruído a suavizar.</w:t>
      </w:r>
    </w:p>
    <w:p>
      <w:pPr>
        <w:spacing w:line="360" w:lineRule="auto" w:before="0" w:after="0"/>
        <w:ind w:firstLine="709"/>
        <w:jc w:val="both"/>
      </w:pPr>
      <w:r>
        <w:rPr>
          <w:rFonts w:ascii="Times New Roman" w:hAnsi="Times New Roman" w:cs="Times New Roman"/>
          <w:b w:val="0"/>
          <w:i w:val="0"/>
          <w:sz w:val="24"/>
        </w:rPr>
        <w:t xml:space="preserve">O instrumento de medição é um proxy reverso interposto entre cada braço e o gateway, que força a emissão do relatório de uso em cada requisição. Os tokens são contados no proxy, sobre os bytes efetivamente transmitidos, com um único tokenizador divulgado para todos os braços e níveis — nunca a partir do relatório do próprio </w:t>
      </w:r>
      <w:r>
        <w:rPr>
          <w:rFonts w:ascii="Times New Roman" w:hAnsi="Times New Roman" w:cs="Times New Roman"/>
          <w:b w:val="0"/>
          <w:i/>
          <w:sz w:val="24"/>
        </w:rPr>
        <w:t>harness</w:t>
      </w:r>
      <w:r>
        <w:rPr>
          <w:rFonts w:ascii="Times New Roman" w:hAnsi="Times New Roman" w:cs="Times New Roman"/>
          <w:b w:val="0"/>
          <w:i w:val="0"/>
          <w:sz w:val="24"/>
        </w:rPr>
        <w:t xml:space="preserve"> nem da contagem do gateway, que inclui conteúdo injetado que nenhum braço enviou: um deslocamento aditivo por requisição não se cancela em uma razão e cobraria de cada braço um excedente proporcional ao número de passos, que é justamente um comportamento sob teste. As contagens do gateway permanecem registradas para verificação cruzada e para o cálculo de custo, e a divergência entre elas e as do proxy é reportada por braço.</w:t>
      </w:r>
    </w:p>
    <w:p>
      <w:pPr>
        <w:spacing w:line="360" w:lineRule="auto" w:before="0" w:after="0"/>
        <w:ind w:firstLine="709"/>
        <w:jc w:val="both"/>
      </w:pPr>
      <w:r>
        <w:rPr>
          <w:rFonts w:ascii="Times New Roman" w:hAnsi="Times New Roman" w:cs="Times New Roman"/>
          <w:b w:val="0"/>
          <w:i w:val="0"/>
          <w:sz w:val="24"/>
        </w:rPr>
        <w:t xml:space="preserve">Um único limite é imposto, idêntico para todos os braços: um relógio de parede, cujo valor será três vezes a mediana que o </w:t>
      </w:r>
      <w:r>
        <w:rPr>
          <w:rFonts w:ascii="Times New Roman" w:hAnsi="Times New Roman" w:cs="Times New Roman"/>
          <w:b w:val="0"/>
          <w:i/>
          <w:sz w:val="24"/>
        </w:rPr>
        <w:t>harness</w:t>
      </w:r>
      <w:r>
        <w:rPr>
          <w:rFonts w:ascii="Times New Roman" w:hAnsi="Times New Roman" w:cs="Times New Roman"/>
          <w:b w:val="0"/>
          <w:i w:val="0"/>
          <w:sz w:val="24"/>
        </w:rPr>
        <w:t xml:space="preserve"> zero gastar nas tarefas-piloto [A MEDIR — #39]. O número de passos não é limitado, porque um teto de passos é ele próprio uma decisão de projeto de </w:t>
      </w:r>
      <w:r>
        <w:rPr>
          <w:rFonts w:ascii="Times New Roman" w:hAnsi="Times New Roman" w:cs="Times New Roman"/>
          <w:b w:val="0"/>
          <w:i/>
          <w:sz w:val="24"/>
        </w:rPr>
        <w:t>harness</w:t>
      </w:r>
      <w:r>
        <w:rPr>
          <w:rFonts w:ascii="Times New Roman" w:hAnsi="Times New Roman" w:cs="Times New Roman"/>
          <w:b w:val="0"/>
          <w:i w:val="0"/>
          <w:sz w:val="24"/>
        </w:rPr>
        <w:t xml:space="preserve"> e apagaria a diferença sob teste. O comprimento máximo de saída é forçado idêntico pelo proxy. Os parâmetros de amostragem são registrados e reportados, mas não normalizados: o gateway os aceita e não os honra, de modo que afirmar igualdade criaria a aparência de um controle inexistente. O isolamento de ambiente é um portão que falha fechado, e não um item de conferência.</w:t>
      </w:r>
    </w:p>
    <w:p>
      <w:pPr>
        <w:spacing w:line="360" w:lineRule="auto" w:before="0" w:after="0"/>
        <w:ind w:firstLine="709"/>
        <w:jc w:val="both"/>
      </w:pPr>
      <w:r>
        <w:rPr>
          <w:rFonts w:ascii="Times New Roman" w:hAnsi="Times New Roman" w:cs="Times New Roman"/>
          <w:b w:val="0"/>
          <w:i w:val="0"/>
          <w:sz w:val="24"/>
        </w:rPr>
        <w:t>Cada célula do experimento — a tripla (braço, tarefa, nível) — recebe n ≥ 3 execuções completas, contadas após os descartes. Os resultados saem como mediana com dispersão, nunca como estimativa pontual, porque requisições byte-idênticas variam materialmente em tokens de saída neste nível gratuito. Quando a cota não comportar a matriz, reduz-se a cobertura e nunca as repetições: a ameaça é a variância.</w:t>
      </w:r>
    </w:p>
    <w:p>
      <w:pPr>
        <w:spacing w:line="360" w:lineRule="auto" w:before="0" w:after="0"/>
        <w:ind w:firstLine="709"/>
        <w:jc w:val="both"/>
      </w:pPr>
      <w:r>
        <w:rPr>
          <w:rFonts w:ascii="Times New Roman" w:hAnsi="Times New Roman" w:cs="Times New Roman"/>
          <w:b w:val="0"/>
          <w:i w:val="0"/>
          <w:sz w:val="24"/>
        </w:rPr>
        <w:t>A comparação é pareada por tarefa e usa o teste de Wilcoxon dos postos sinalizados sobre o Succ/Mtok por tarefa, bilateral, com α = 0,05 — não paramétrico porque oito pares não sustentam suposição distribucional, e pareado porque a dificuldade da tarefa é o maior fator de perturbação do desenho. Com n = 3 e 8 tarefas, a diferença mínima detectável é de cerca de 0,81σ. As predições são pré-registradas por nível de modelo, e um resultado nulo para H2 é achado reportável, não experimento fracassado.</w:t>
      </w:r>
    </w:p>
    <w:p>
      <w:pPr>
        <w:spacing w:line="360" w:lineRule="auto" w:before="0" w:after="0"/>
        <w:ind w:firstLine="709"/>
        <w:jc w:val="both"/>
      </w:pPr>
      <w:r>
        <w:rPr>
          <w:rFonts w:ascii="Times New Roman" w:hAnsi="Times New Roman" w:cs="Times New Roman"/>
          <w:b w:val="0"/>
          <w:i w:val="0"/>
          <w:sz w:val="24"/>
        </w:rPr>
        <w:t xml:space="preserve">Cada execução recebe exatamente uma classe. Aquela cujo agente não cumpriu a tarefa é um resultado, entra na estatística e recebe escore zero; nesse grupo, o estouro do relógio de parede é resultado e nunca motivo de nova tentativa, porque repetir converte uma indisponibilidade do serviço em diferença aparente entre </w:t>
      </w:r>
      <w:r>
        <w:rPr>
          <w:rFonts w:ascii="Times New Roman" w:hAnsi="Times New Roman" w:cs="Times New Roman"/>
          <w:b w:val="0"/>
          <w:i/>
          <w:sz w:val="24"/>
        </w:rPr>
        <w:t>harnesses</w:t>
      </w:r>
      <w:r>
        <w:rPr>
          <w:rFonts w:ascii="Times New Roman" w:hAnsi="Times New Roman" w:cs="Times New Roman"/>
          <w:b w:val="0"/>
          <w:i w:val="0"/>
          <w:sz w:val="24"/>
        </w:rPr>
        <w:t>. Aquela cuja medição é inconfiável é descartada, registrada como tal e jamais reparada ou repetida. Códigos de saída não classificam desfecho, porque não o discriminam.</w:t>
      </w:r>
    </w:p>
    <w:p>
      <w:pPr>
        <w:spacing w:line="360" w:lineRule="auto" w:before="120" w:after="0"/>
        <w:ind w:firstLine="0"/>
      </w:pPr>
      <w:r>
        <w:rPr>
          <w:rFonts w:ascii="Times New Roman" w:hAnsi="Times New Roman" w:cs="Times New Roman"/>
          <w:b/>
          <w:i w:val="0"/>
          <w:sz w:val="24"/>
        </w:rPr>
        <w:t>Resultados preliminares do instrumento (Camada 1)</w:t>
      </w:r>
    </w:p>
    <w:p>
      <w:pPr>
        <w:spacing w:line="360" w:lineRule="auto" w:before="0" w:after="0"/>
        <w:ind w:firstLine="709"/>
        <w:jc w:val="both"/>
      </w:pPr>
      <w:r>
        <w:rPr>
          <w:rFonts w:ascii="Times New Roman" w:hAnsi="Times New Roman" w:cs="Times New Roman"/>
          <w:b w:val="0"/>
          <w:i w:val="0"/>
          <w:sz w:val="24"/>
        </w:rPr>
        <w:t xml:space="preserve">O instrumento da Camada 1 está construído e executado, com os dados brutos no repositório público do projeto (YuukiFST, 2026). Na primeira requisição da tarefa </w:t>
      </w:r>
      <w:r>
        <w:rPr>
          <w:rFonts w:ascii="Times New Roman" w:hAnsi="Times New Roman" w:cs="Times New Roman"/>
          <w:b w:val="0"/>
          <w:i/>
          <w:sz w:val="24"/>
        </w:rPr>
        <w:t>probe</w:t>
      </w:r>
      <w:r>
        <w:rPr>
          <w:rFonts w:ascii="Times New Roman" w:hAnsi="Times New Roman" w:cs="Times New Roman"/>
          <w:b w:val="0"/>
          <w:i w:val="0"/>
          <w:sz w:val="24"/>
        </w:rPr>
        <w:t xml:space="preserve">, em ambiente isolado, medida em 28 de agosto de 2026, os braços diferem por uma ordem de grandeza antes que o modelo gere qualquer token (Tabela 1): com a linhagem mantida fixa, o oh-my-pi envia 11,4x os bytes totais do pi, 13,5x os bytes de esquemas de ferramenta, 10,2x os de prompt de sistema, 2,75x o número de esquemas e 13,6x os tokens — uma medição anterior, com código independente e prompt diferente, obtivera 10,8x. Dois achados da mesma execução superam a razão em importância: os três braços reenviam o histórico completo a cada passo, com incremento constante de 555, 625 e 698 bytes (pi, oh-my-pi e OpenCode), sem compactar nem truncar em cinco passos, de modo que o custo relativo já está definido antes de o laço começar; e o OpenCode gasta por sessão uma chamada auxiliar de 2.526 bytes que seria cobrada em um nível pago e não aparece no seu próprio relatório — o objetivo (f) observado, e não argumentado. O delta de estado ambiente do pi nesta máquina é de 0 bytes, propriedade da máquina tanto quanto do </w:t>
      </w:r>
      <w:r>
        <w:rPr>
          <w:rFonts w:ascii="Times New Roman" w:hAnsi="Times New Roman" w:cs="Times New Roman"/>
          <w:b w:val="0"/>
          <w:i/>
          <w:sz w:val="24"/>
        </w:rPr>
        <w:t>harness</w:t>
      </w:r>
      <w:r>
        <w:rPr>
          <w:rFonts w:ascii="Times New Roman" w:hAnsi="Times New Roman" w:cs="Times New Roman"/>
          <w:b w:val="0"/>
          <w:i w:val="0"/>
          <w:sz w:val="24"/>
        </w:rPr>
        <w:t>, a ser remedida onde o experimento correrá.</w:t>
      </w:r>
    </w:p>
    <w:p>
      <w:pPr>
        <w:keepNext/>
        <w:spacing w:line="240" w:lineRule="auto" w:before="120" w:after="40"/>
        <w:ind w:firstLine="0"/>
        <w:jc w:val="left"/>
      </w:pPr>
      <w:r>
        <w:rPr>
          <w:rFonts w:ascii="Times New Roman" w:hAnsi="Times New Roman" w:cs="Times New Roman"/>
          <w:b w:val="0"/>
          <w:i w:val="0"/>
          <w:sz w:val="20"/>
        </w:rPr>
        <w:t>Tabela 1 – Primeira requisição por braço, perfil isolado, tarefa probe (28 ago. 2026)</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1814"/>
          </w:tcPr>
          <w:p>
            <w:pPr>
              <w:spacing w:line="240" w:lineRule="auto" w:before="20" w:after="20"/>
              <w:ind w:firstLine="0"/>
            </w:pPr>
            <w:r/>
            <w:r>
              <w:rPr>
                <w:rFonts w:ascii="Times New Roman" w:hAnsi="Times New Roman" w:cs="Times New Roman"/>
                <w:b/>
                <w:i w:val="0"/>
                <w:sz w:val="18"/>
              </w:rPr>
              <w:t>Braço</w:t>
            </w:r>
          </w:p>
        </w:tc>
        <w:tc>
          <w:tcPr>
            <w:tcW w:type="dxa" w:w="1531"/>
          </w:tcPr>
          <w:p>
            <w:pPr>
              <w:spacing w:line="240" w:lineRule="auto" w:before="20" w:after="20"/>
              <w:ind w:firstLine="0"/>
              <w:jc w:val="center"/>
            </w:pPr>
            <w:r/>
            <w:r>
              <w:rPr>
                <w:rFonts w:ascii="Times New Roman" w:hAnsi="Times New Roman" w:cs="Times New Roman"/>
                <w:b/>
                <w:i w:val="0"/>
                <w:sz w:val="18"/>
              </w:rPr>
              <w:t>Esquemas de ferramenta</w:t>
            </w:r>
          </w:p>
        </w:tc>
        <w:tc>
          <w:tcPr>
            <w:tcW w:type="dxa" w:w="1474"/>
          </w:tcPr>
          <w:p>
            <w:pPr>
              <w:spacing w:line="240" w:lineRule="auto" w:before="20" w:after="20"/>
              <w:ind w:firstLine="0"/>
              <w:jc w:val="center"/>
            </w:pPr>
            <w:r/>
            <w:r>
              <w:rPr>
                <w:rFonts w:ascii="Times New Roman" w:hAnsi="Times New Roman" w:cs="Times New Roman"/>
                <w:b/>
                <w:i w:val="0"/>
                <w:sz w:val="18"/>
              </w:rPr>
              <w:t>Bytes de ferramentas</w:t>
            </w:r>
          </w:p>
        </w:tc>
        <w:tc>
          <w:tcPr>
            <w:tcW w:type="dxa" w:w="1417"/>
          </w:tcPr>
          <w:p>
            <w:pPr>
              <w:spacing w:line="240" w:lineRule="auto" w:before="20" w:after="20"/>
              <w:ind w:firstLine="0"/>
              <w:jc w:val="center"/>
            </w:pPr>
            <w:r/>
            <w:r>
              <w:rPr>
                <w:rFonts w:ascii="Times New Roman" w:hAnsi="Times New Roman" w:cs="Times New Roman"/>
                <w:b/>
                <w:i w:val="0"/>
                <w:sz w:val="18"/>
              </w:rPr>
              <w:t>Bytes de system</w:t>
            </w:r>
          </w:p>
        </w:tc>
        <w:tc>
          <w:tcPr>
            <w:tcW w:type="dxa" w:w="1417"/>
          </w:tcPr>
          <w:p>
            <w:pPr>
              <w:spacing w:line="240" w:lineRule="auto" w:before="20" w:after="20"/>
              <w:ind w:firstLine="0"/>
              <w:jc w:val="center"/>
            </w:pPr>
            <w:r/>
            <w:r>
              <w:rPr>
                <w:rFonts w:ascii="Times New Roman" w:hAnsi="Times New Roman" w:cs="Times New Roman"/>
                <w:b/>
                <w:i w:val="0"/>
                <w:sz w:val="18"/>
              </w:rPr>
              <w:t>Bytes totais</w:t>
            </w:r>
          </w:p>
        </w:tc>
        <w:tc>
          <w:tcPr>
            <w:tcW w:type="dxa" w:w="1417"/>
          </w:tcPr>
          <w:p>
            <w:pPr>
              <w:spacing w:line="240" w:lineRule="auto" w:before="20" w:after="20"/>
              <w:ind w:firstLine="0"/>
              <w:jc w:val="center"/>
            </w:pPr>
            <w:r/>
            <w:r>
              <w:rPr>
                <w:rFonts w:ascii="Times New Roman" w:hAnsi="Times New Roman" w:cs="Times New Roman"/>
                <w:b/>
                <w:i w:val="0"/>
                <w:sz w:val="18"/>
              </w:rPr>
              <w:t>Tokens</w:t>
            </w:r>
          </w:p>
        </w:tc>
      </w:tr>
      <w:tr>
        <w:tc>
          <w:tcPr>
            <w:tcW w:type="dxa" w:w="1814"/>
          </w:tcPr>
          <w:p>
            <w:pPr>
              <w:spacing w:line="240" w:lineRule="auto" w:before="20" w:after="20"/>
              <w:ind w:firstLine="0"/>
            </w:pPr>
            <w:r/>
            <w:r>
              <w:rPr>
                <w:rFonts w:ascii="Times New Roman" w:hAnsi="Times New Roman" w:cs="Times New Roman"/>
                <w:b w:val="0"/>
                <w:i w:val="0"/>
                <w:sz w:val="18"/>
              </w:rPr>
              <w:t>oh-my-pi 17.2.10</w:t>
            </w:r>
          </w:p>
        </w:tc>
        <w:tc>
          <w:tcPr>
            <w:tcW w:type="dxa" w:w="1531"/>
          </w:tcPr>
          <w:p>
            <w:pPr>
              <w:spacing w:line="240" w:lineRule="auto" w:before="20" w:after="20"/>
              <w:ind w:firstLine="0"/>
              <w:jc w:val="center"/>
            </w:pPr>
            <w:r/>
            <w:r>
              <w:rPr>
                <w:rFonts w:ascii="Times New Roman" w:hAnsi="Times New Roman" w:cs="Times New Roman"/>
                <w:b w:val="0"/>
                <w:i w:val="0"/>
                <w:sz w:val="18"/>
              </w:rPr>
              <w:t>11</w:t>
            </w:r>
          </w:p>
        </w:tc>
        <w:tc>
          <w:tcPr>
            <w:tcW w:type="dxa" w:w="1474"/>
          </w:tcPr>
          <w:p>
            <w:pPr>
              <w:spacing w:line="240" w:lineRule="auto" w:before="20" w:after="20"/>
              <w:ind w:firstLine="0"/>
              <w:jc w:val="center"/>
            </w:pPr>
            <w:r/>
            <w:r>
              <w:rPr>
                <w:rFonts w:ascii="Times New Roman" w:hAnsi="Times New Roman" w:cs="Times New Roman"/>
                <w:b w:val="0"/>
                <w:i w:val="0"/>
                <w:sz w:val="18"/>
              </w:rPr>
              <w:t>39.273</w:t>
            </w:r>
          </w:p>
        </w:tc>
        <w:tc>
          <w:tcPr>
            <w:tcW w:type="dxa" w:w="1417"/>
          </w:tcPr>
          <w:p>
            <w:pPr>
              <w:spacing w:line="240" w:lineRule="auto" w:before="20" w:after="20"/>
              <w:ind w:firstLine="0"/>
              <w:jc w:val="center"/>
            </w:pPr>
            <w:r/>
            <w:r>
              <w:rPr>
                <w:rFonts w:ascii="Times New Roman" w:hAnsi="Times New Roman" w:cs="Times New Roman"/>
                <w:b w:val="0"/>
                <w:i w:val="0"/>
                <w:sz w:val="18"/>
              </w:rPr>
              <w:t>25.395</w:t>
            </w:r>
          </w:p>
        </w:tc>
        <w:tc>
          <w:tcPr>
            <w:tcW w:type="dxa" w:w="1417"/>
          </w:tcPr>
          <w:p>
            <w:pPr>
              <w:spacing w:line="240" w:lineRule="auto" w:before="20" w:after="20"/>
              <w:ind w:firstLine="0"/>
              <w:jc w:val="center"/>
            </w:pPr>
            <w:r/>
            <w:r>
              <w:rPr>
                <w:rFonts w:ascii="Times New Roman" w:hAnsi="Times New Roman" w:cs="Times New Roman"/>
                <w:b w:val="0"/>
                <w:i w:val="0"/>
                <w:sz w:val="18"/>
              </w:rPr>
              <w:t>64.945</w:t>
            </w:r>
          </w:p>
        </w:tc>
        <w:tc>
          <w:tcPr>
            <w:tcW w:type="dxa" w:w="1417"/>
          </w:tcPr>
          <w:p>
            <w:pPr>
              <w:spacing w:line="240" w:lineRule="auto" w:before="20" w:after="20"/>
              <w:ind w:firstLine="0"/>
              <w:jc w:val="center"/>
            </w:pPr>
            <w:r/>
            <w:r>
              <w:rPr>
                <w:rFonts w:ascii="Times New Roman" w:hAnsi="Times New Roman" w:cs="Times New Roman"/>
                <w:b w:val="0"/>
                <w:i w:val="0"/>
                <w:sz w:val="18"/>
              </w:rPr>
              <w:t>16.714</w:t>
            </w:r>
          </w:p>
        </w:tc>
      </w:tr>
      <w:tr>
        <w:tc>
          <w:tcPr>
            <w:tcW w:type="dxa" w:w="1814"/>
          </w:tcPr>
          <w:p>
            <w:pPr>
              <w:spacing w:line="240" w:lineRule="auto" w:before="20" w:after="20"/>
              <w:ind w:firstLine="0"/>
            </w:pPr>
            <w:r/>
            <w:r>
              <w:rPr>
                <w:rFonts w:ascii="Times New Roman" w:hAnsi="Times New Roman" w:cs="Times New Roman"/>
                <w:b w:val="0"/>
                <w:i w:val="0"/>
                <w:sz w:val="18"/>
              </w:rPr>
              <w:t>opencode 1.17.9</w:t>
            </w:r>
          </w:p>
        </w:tc>
        <w:tc>
          <w:tcPr>
            <w:tcW w:type="dxa" w:w="1531"/>
          </w:tcPr>
          <w:p>
            <w:pPr>
              <w:spacing w:line="240" w:lineRule="auto" w:before="20" w:after="20"/>
              <w:ind w:firstLine="0"/>
              <w:jc w:val="center"/>
            </w:pPr>
            <w:r/>
            <w:r>
              <w:rPr>
                <w:rFonts w:ascii="Times New Roman" w:hAnsi="Times New Roman" w:cs="Times New Roman"/>
                <w:b w:val="0"/>
                <w:i w:val="0"/>
                <w:sz w:val="18"/>
              </w:rPr>
              <w:t>9</w:t>
            </w:r>
          </w:p>
        </w:tc>
        <w:tc>
          <w:tcPr>
            <w:tcW w:type="dxa" w:w="1474"/>
          </w:tcPr>
          <w:p>
            <w:pPr>
              <w:spacing w:line="240" w:lineRule="auto" w:before="20" w:after="20"/>
              <w:ind w:firstLine="0"/>
              <w:jc w:val="center"/>
            </w:pPr>
            <w:r/>
            <w:r>
              <w:rPr>
                <w:rFonts w:ascii="Times New Roman" w:hAnsi="Times New Roman" w:cs="Times New Roman"/>
                <w:b w:val="0"/>
                <w:i w:val="0"/>
                <w:sz w:val="18"/>
              </w:rPr>
              <w:t>20.007</w:t>
            </w:r>
          </w:p>
        </w:tc>
        <w:tc>
          <w:tcPr>
            <w:tcW w:type="dxa" w:w="1417"/>
          </w:tcPr>
          <w:p>
            <w:pPr>
              <w:spacing w:line="240" w:lineRule="auto" w:before="20" w:after="20"/>
              <w:ind w:firstLine="0"/>
              <w:jc w:val="center"/>
            </w:pPr>
            <w:r/>
            <w:r>
              <w:rPr>
                <w:rFonts w:ascii="Times New Roman" w:hAnsi="Times New Roman" w:cs="Times New Roman"/>
                <w:b w:val="0"/>
                <w:i w:val="0"/>
                <w:sz w:val="18"/>
              </w:rPr>
              <w:t>9.738</w:t>
            </w:r>
          </w:p>
        </w:tc>
        <w:tc>
          <w:tcPr>
            <w:tcW w:type="dxa" w:w="1417"/>
          </w:tcPr>
          <w:p>
            <w:pPr>
              <w:spacing w:line="240" w:lineRule="auto" w:before="20" w:after="20"/>
              <w:ind w:firstLine="0"/>
              <w:jc w:val="center"/>
            </w:pPr>
            <w:r/>
            <w:r>
              <w:rPr>
                <w:rFonts w:ascii="Times New Roman" w:hAnsi="Times New Roman" w:cs="Times New Roman"/>
                <w:b w:val="0"/>
                <w:i w:val="0"/>
                <w:sz w:val="18"/>
              </w:rPr>
              <w:t>29.997</w:t>
            </w:r>
          </w:p>
        </w:tc>
        <w:tc>
          <w:tcPr>
            <w:tcW w:type="dxa" w:w="1417"/>
          </w:tcPr>
          <w:p>
            <w:pPr>
              <w:spacing w:line="240" w:lineRule="auto" w:before="20" w:after="20"/>
              <w:ind w:firstLine="0"/>
              <w:jc w:val="center"/>
            </w:pPr>
            <w:r/>
            <w:r>
              <w:rPr>
                <w:rFonts w:ascii="Times New Roman" w:hAnsi="Times New Roman" w:cs="Times New Roman"/>
                <w:b w:val="0"/>
                <w:i w:val="0"/>
                <w:sz w:val="18"/>
              </w:rPr>
              <w:t>6.659</w:t>
            </w:r>
          </w:p>
        </w:tc>
      </w:tr>
      <w:tr>
        <w:tc>
          <w:tcPr>
            <w:tcW w:type="dxa" w:w="1814"/>
          </w:tcPr>
          <w:p>
            <w:pPr>
              <w:spacing w:line="240" w:lineRule="auto" w:before="20" w:after="20"/>
              <w:ind w:firstLine="0"/>
            </w:pPr>
            <w:r/>
            <w:r>
              <w:rPr>
                <w:rFonts w:ascii="Times New Roman" w:hAnsi="Times New Roman" w:cs="Times New Roman"/>
                <w:b w:val="0"/>
                <w:i w:val="0"/>
                <w:sz w:val="18"/>
              </w:rPr>
              <w:t>pi 0.80.10</w:t>
            </w:r>
          </w:p>
        </w:tc>
        <w:tc>
          <w:tcPr>
            <w:tcW w:type="dxa" w:w="1531"/>
          </w:tcPr>
          <w:p>
            <w:pPr>
              <w:spacing w:line="240" w:lineRule="auto" w:before="20" w:after="20"/>
              <w:ind w:firstLine="0"/>
              <w:jc w:val="center"/>
            </w:pPr>
            <w:r/>
            <w:r>
              <w:rPr>
                <w:rFonts w:ascii="Times New Roman" w:hAnsi="Times New Roman" w:cs="Times New Roman"/>
                <w:b w:val="0"/>
                <w:i w:val="0"/>
                <w:sz w:val="18"/>
              </w:rPr>
              <w:t>4</w:t>
            </w:r>
          </w:p>
        </w:tc>
        <w:tc>
          <w:tcPr>
            <w:tcW w:type="dxa" w:w="1474"/>
          </w:tcPr>
          <w:p>
            <w:pPr>
              <w:spacing w:line="240" w:lineRule="auto" w:before="20" w:after="20"/>
              <w:ind w:firstLine="0"/>
              <w:jc w:val="center"/>
            </w:pPr>
            <w:r/>
            <w:r>
              <w:rPr>
                <w:rFonts w:ascii="Times New Roman" w:hAnsi="Times New Roman" w:cs="Times New Roman"/>
                <w:b w:val="0"/>
                <w:i w:val="0"/>
                <w:sz w:val="18"/>
              </w:rPr>
              <w:t>2.900</w:t>
            </w:r>
          </w:p>
        </w:tc>
        <w:tc>
          <w:tcPr>
            <w:tcW w:type="dxa" w:w="1417"/>
          </w:tcPr>
          <w:p>
            <w:pPr>
              <w:spacing w:line="240" w:lineRule="auto" w:before="20" w:after="20"/>
              <w:ind w:firstLine="0"/>
              <w:jc w:val="center"/>
            </w:pPr>
            <w:r/>
            <w:r>
              <w:rPr>
                <w:rFonts w:ascii="Times New Roman" w:hAnsi="Times New Roman" w:cs="Times New Roman"/>
                <w:b w:val="0"/>
                <w:i w:val="0"/>
                <w:sz w:val="18"/>
              </w:rPr>
              <w:t>2.499</w:t>
            </w:r>
          </w:p>
        </w:tc>
        <w:tc>
          <w:tcPr>
            <w:tcW w:type="dxa" w:w="1417"/>
          </w:tcPr>
          <w:p>
            <w:pPr>
              <w:spacing w:line="240" w:lineRule="auto" w:before="20" w:after="20"/>
              <w:ind w:firstLine="0"/>
              <w:jc w:val="center"/>
            </w:pPr>
            <w:r/>
            <w:r>
              <w:rPr>
                <w:rFonts w:ascii="Times New Roman" w:hAnsi="Times New Roman" w:cs="Times New Roman"/>
                <w:b w:val="0"/>
                <w:i w:val="0"/>
                <w:sz w:val="18"/>
              </w:rPr>
              <w:t>5.676</w:t>
            </w:r>
          </w:p>
        </w:tc>
        <w:tc>
          <w:tcPr>
            <w:tcW w:type="dxa" w:w="1417"/>
          </w:tcPr>
          <w:p>
            <w:pPr>
              <w:spacing w:line="240" w:lineRule="auto" w:before="20" w:after="20"/>
              <w:ind w:firstLine="0"/>
              <w:jc w:val="center"/>
            </w:pPr>
            <w:r/>
            <w:r>
              <w:rPr>
                <w:rFonts w:ascii="Times New Roman" w:hAnsi="Times New Roman" w:cs="Times New Roman"/>
                <w:b w:val="0"/>
                <w:i w:val="0"/>
                <w:sz w:val="18"/>
              </w:rPr>
              <w:t>1.228</w:t>
            </w:r>
          </w:p>
        </w:tc>
      </w:tr>
    </w:tbl>
    <w:p>
      <w:pPr>
        <w:keepNext w:val="0"/>
        <w:spacing w:line="240" w:lineRule="auto" w:before="40" w:after="120"/>
        <w:ind w:firstLine="0"/>
        <w:jc w:val="left"/>
      </w:pPr>
      <w:r>
        <w:rPr>
          <w:rFonts w:ascii="Times New Roman" w:hAnsi="Times New Roman" w:cs="Times New Roman"/>
          <w:b w:val="0"/>
          <w:i w:val="0"/>
          <w:sz w:val="20"/>
        </w:rPr>
        <w:t>Fonte: elaborado pelo autor (2026).</w:t>
      </w:r>
    </w:p>
    <w:p>
      <w:pPr>
        <w:spacing w:line="360" w:lineRule="auto" w:before="120" w:after="0"/>
        <w:ind w:firstLine="0"/>
      </w:pPr>
      <w:r>
        <w:rPr>
          <w:rFonts w:ascii="Times New Roman" w:hAnsi="Times New Roman" w:cs="Times New Roman"/>
          <w:b/>
          <w:i w:val="0"/>
          <w:sz w:val="24"/>
        </w:rPr>
        <w:t>Limitações e ameaças à validade</w:t>
      </w:r>
    </w:p>
    <w:p>
      <w:pPr>
        <w:spacing w:line="360" w:lineRule="auto" w:before="0" w:after="0"/>
        <w:ind w:firstLine="709"/>
        <w:jc w:val="both"/>
      </w:pPr>
      <w:r>
        <w:rPr>
          <w:rFonts w:ascii="Times New Roman" w:hAnsi="Times New Roman" w:cs="Times New Roman"/>
          <w:b w:val="0"/>
          <w:i w:val="0"/>
          <w:sz w:val="24"/>
        </w:rPr>
        <w:t xml:space="preserve">Cinco limitações são declaradas de partida, em vez de defendidas depois. O efeito de um </w:t>
      </w:r>
      <w:r>
        <w:rPr>
          <w:rFonts w:ascii="Times New Roman" w:hAnsi="Times New Roman" w:cs="Times New Roman"/>
          <w:b w:val="0"/>
          <w:i/>
          <w:sz w:val="24"/>
        </w:rPr>
        <w:t>harness</w:t>
      </w:r>
      <w:r>
        <w:rPr>
          <w:rFonts w:ascii="Times New Roman" w:hAnsi="Times New Roman" w:cs="Times New Roman"/>
          <w:b w:val="0"/>
          <w:i w:val="0"/>
          <w:sz w:val="24"/>
        </w:rPr>
        <w:t xml:space="preserve"> é específico do modelo e pode inverter de sinal, o que restringe qualquer conclusão ao nível de modelo em que foi obtida; o objetivo (e) existe para testar isso. A transferência para modelos pequenos fica deliberadamente em aberto e é registrada como trabalho futuro, pela razão que Ning et al. (2026, §5.2.3) nomeiam: o único modelo pequeno viável havia sido treinado dentro de um dos braços, o que invalidaria a medição de destaque em vez de apenas limitá-la. Os valores absolutos não são comparáveis ao placar público do DeepSWE, porque toda linha de base publicada usa um </w:t>
      </w:r>
      <w:r>
        <w:rPr>
          <w:rFonts w:ascii="Times New Roman" w:hAnsi="Times New Roman" w:cs="Times New Roman"/>
          <w:b w:val="0"/>
          <w:i/>
          <w:sz w:val="24"/>
        </w:rPr>
        <w:t>harness</w:t>
      </w:r>
      <w:r>
        <w:rPr>
          <w:rFonts w:ascii="Times New Roman" w:hAnsi="Times New Roman" w:cs="Times New Roman"/>
          <w:b w:val="0"/>
          <w:i w:val="0"/>
          <w:sz w:val="24"/>
        </w:rPr>
        <w:t xml:space="preserve"> de ferramenta única; a comparação aqui é entre os próprios braços. O custo em dinheiro é um contrafactual de ordem de grandeza sobre tarifas pagas publicadas, rotulado como tal onde apareça. Por fim, os resultados preliminares da Camada 1 valem para uma tarefa, uma máquina e três braços — o controle ainda não figura na tabela — e a Camada 2 ainda não produziu resultado algum.</w:t>
      </w:r>
    </w:p>
    <w:p>
      <w:pPr>
        <w:keepNext/>
        <w:spacing w:line="360" w:lineRule="auto" w:before="240" w:after="120"/>
        <w:ind w:firstLine="0"/>
      </w:pPr>
      <w:r>
        <w:rPr>
          <w:rFonts w:ascii="Times New Roman" w:hAnsi="Times New Roman" w:cs="Times New Roman"/>
          <w:b/>
          <w:i w:val="0"/>
          <w:sz w:val="28"/>
        </w:rPr>
        <w:t>4 ORÇAMENTO</w:t>
      </w:r>
    </w:p>
    <w:p>
      <w:pPr>
        <w:keepNext/>
        <w:spacing w:line="240" w:lineRule="auto" w:before="120" w:after="40"/>
        <w:ind w:firstLine="0"/>
        <w:jc w:val="left"/>
      </w:pPr>
      <w:r>
        <w:rPr>
          <w:rFonts w:ascii="Times New Roman" w:hAnsi="Times New Roman" w:cs="Times New Roman"/>
          <w:b w:val="0"/>
          <w:i w:val="0"/>
          <w:sz w:val="20"/>
        </w:rPr>
        <w:t>Tabela 2 – Orçamento do projeto</w:t>
      </w:r>
    </w:p>
    <w:tbl>
      <w:tblPr>
        <w:tblStyle w:val="TableGrid"/>
        <w:tblW w:type="auto" w:w="0"/>
        <w:jc w:val="center"/>
        <w:tblLayout w:type="fixed"/>
        <w:tblLook w:firstColumn="1" w:firstRow="1" w:lastColumn="0" w:lastRow="0" w:noHBand="0" w:noVBand="1" w:val="04A0"/>
      </w:tblPr>
      <w:tblGrid>
        <w:gridCol w:w="4535"/>
        <w:gridCol w:w="4535"/>
      </w:tblGrid>
      <w:tr>
        <w:tc>
          <w:tcPr>
            <w:tcW w:type="dxa" w:w="6520"/>
          </w:tcPr>
          <w:p>
            <w:pPr>
              <w:spacing w:line="240" w:lineRule="auto" w:before="20" w:after="20"/>
              <w:ind w:firstLine="0"/>
            </w:pPr>
            <w:r/>
            <w:r>
              <w:rPr>
                <w:rFonts w:ascii="Times New Roman" w:hAnsi="Times New Roman" w:cs="Times New Roman"/>
                <w:b/>
                <w:i w:val="0"/>
                <w:sz w:val="22"/>
              </w:rPr>
              <w:t>Item</w:t>
            </w:r>
          </w:p>
        </w:tc>
        <w:tc>
          <w:tcPr>
            <w:tcW w:type="dxa" w:w="2551"/>
          </w:tcPr>
          <w:p>
            <w:pPr>
              <w:spacing w:line="240" w:lineRule="auto" w:before="20" w:after="20"/>
              <w:ind w:firstLine="0"/>
              <w:jc w:val="center"/>
            </w:pPr>
            <w:r/>
            <w:r>
              <w:rPr>
                <w:rFonts w:ascii="Times New Roman" w:hAnsi="Times New Roman" w:cs="Times New Roman"/>
                <w:b/>
                <w:i w:val="0"/>
                <w:sz w:val="22"/>
              </w:rPr>
              <w:t>Custo</w:t>
            </w:r>
          </w:p>
        </w:tc>
      </w:tr>
      <w:tr>
        <w:tc>
          <w:tcPr>
            <w:tcW w:type="dxa" w:w="6520"/>
          </w:tcPr>
          <w:p>
            <w:pPr>
              <w:spacing w:line="240" w:lineRule="auto" w:before="20" w:after="20"/>
              <w:ind w:firstLine="0"/>
            </w:pPr>
            <w:r/>
            <w:r>
              <w:rPr>
                <w:rFonts w:ascii="Times New Roman" w:hAnsi="Times New Roman" w:cs="Times New Roman"/>
                <w:b w:val="0"/>
                <w:i w:val="0"/>
                <w:sz w:val="22"/>
              </w:rPr>
              <w:t>Inferência dos modelos (dois níveis, nível gratuito do gateway)</w:t>
            </w:r>
          </w:p>
        </w:tc>
        <w:tc>
          <w:tcPr>
            <w:tcW w:type="dxa" w:w="2551"/>
          </w:tcPr>
          <w:p>
            <w:pPr>
              <w:spacing w:line="240" w:lineRule="auto" w:before="20" w:after="20"/>
              <w:ind w:firstLine="0"/>
              <w:jc w:val="center"/>
            </w:pPr>
            <w:r/>
            <w:r>
              <w:rPr>
                <w:rFonts w:ascii="Times New Roman" w:hAnsi="Times New Roman" w:cs="Times New Roman"/>
                <w:b w:val="0"/>
                <w:i w:val="0"/>
                <w:sz w:val="22"/>
              </w:rPr>
              <w:t>R$ 0,00</w:t>
            </w:r>
          </w:p>
        </w:tc>
      </w:tr>
      <w:tr>
        <w:tc>
          <w:tcPr>
            <w:tcW w:type="dxa" w:w="6520"/>
          </w:tcPr>
          <w:p>
            <w:pPr>
              <w:spacing w:line="240" w:lineRule="auto" w:before="20" w:after="20"/>
              <w:ind w:firstLine="0"/>
            </w:pPr>
            <w:r/>
            <w:r>
              <w:rPr>
                <w:rFonts w:ascii="Times New Roman" w:hAnsi="Times New Roman" w:cs="Times New Roman"/>
                <w:b w:val="0"/>
                <w:i w:val="0"/>
                <w:sz w:val="22"/>
              </w:rPr>
              <w:t>Executor e benchmark (Pier e DeepSWE, licença Apache-2.0)</w:t>
            </w:r>
          </w:p>
        </w:tc>
        <w:tc>
          <w:tcPr>
            <w:tcW w:type="dxa" w:w="2551"/>
          </w:tcPr>
          <w:p>
            <w:pPr>
              <w:spacing w:line="240" w:lineRule="auto" w:before="20" w:after="20"/>
              <w:ind w:firstLine="0"/>
              <w:jc w:val="center"/>
            </w:pPr>
            <w:r/>
            <w:r>
              <w:rPr>
                <w:rFonts w:ascii="Times New Roman" w:hAnsi="Times New Roman" w:cs="Times New Roman"/>
                <w:b w:val="0"/>
                <w:i w:val="0"/>
                <w:sz w:val="22"/>
              </w:rPr>
              <w:t>R$ 0,00</w:t>
            </w:r>
          </w:p>
        </w:tc>
      </w:tr>
      <w:tr>
        <w:tc>
          <w:tcPr>
            <w:tcW w:type="dxa" w:w="6520"/>
          </w:tcPr>
          <w:p>
            <w:pPr>
              <w:spacing w:line="240" w:lineRule="auto" w:before="20" w:after="20"/>
              <w:ind w:firstLine="0"/>
            </w:pPr>
            <w:r/>
            <w:r>
              <w:rPr>
                <w:rFonts w:ascii="Times New Roman" w:hAnsi="Times New Roman" w:cs="Times New Roman"/>
                <w:b w:val="0"/>
                <w:i w:val="0"/>
                <w:sz w:val="22"/>
              </w:rPr>
              <w:t>Máquinas (estação pessoal NixOS e estação pessoal Windows)</w:t>
            </w:r>
          </w:p>
        </w:tc>
        <w:tc>
          <w:tcPr>
            <w:tcW w:type="dxa" w:w="2551"/>
          </w:tcPr>
          <w:p>
            <w:pPr>
              <w:spacing w:line="240" w:lineRule="auto" w:before="20" w:after="20"/>
              <w:ind w:firstLine="0"/>
              <w:jc w:val="center"/>
            </w:pPr>
            <w:r/>
            <w:r>
              <w:rPr>
                <w:rFonts w:ascii="Times New Roman" w:hAnsi="Times New Roman" w:cs="Times New Roman"/>
                <w:b w:val="0"/>
                <w:i w:val="0"/>
                <w:sz w:val="22"/>
              </w:rPr>
              <w:t>R$ 0,00 — já disponíveis</w:t>
            </w:r>
          </w:p>
        </w:tc>
      </w:tr>
      <w:tr>
        <w:tc>
          <w:tcPr>
            <w:tcW w:type="dxa" w:w="6520"/>
          </w:tcPr>
          <w:p>
            <w:pPr>
              <w:spacing w:line="240" w:lineRule="auto" w:before="20" w:after="20"/>
              <w:ind w:firstLine="0"/>
            </w:pPr>
            <w:r/>
            <w:r>
              <w:rPr>
                <w:rFonts w:ascii="Times New Roman" w:hAnsi="Times New Roman" w:cs="Times New Roman"/>
                <w:b/>
                <w:i w:val="0"/>
                <w:sz w:val="22"/>
              </w:rPr>
              <w:t>Total</w:t>
            </w:r>
          </w:p>
        </w:tc>
        <w:tc>
          <w:tcPr>
            <w:tcW w:type="dxa" w:w="2551"/>
          </w:tcPr>
          <w:p>
            <w:pPr>
              <w:spacing w:line="240" w:lineRule="auto" w:before="20" w:after="20"/>
              <w:ind w:firstLine="0"/>
              <w:jc w:val="center"/>
            </w:pPr>
            <w:r/>
            <w:r>
              <w:rPr>
                <w:rFonts w:ascii="Times New Roman" w:hAnsi="Times New Roman" w:cs="Times New Roman"/>
                <w:b/>
                <w:i w:val="0"/>
                <w:sz w:val="22"/>
              </w:rPr>
              <w:t>R$ 0,00</w:t>
            </w:r>
          </w:p>
        </w:tc>
      </w:tr>
    </w:tbl>
    <w:p>
      <w:pPr>
        <w:keepNext w:val="0"/>
        <w:spacing w:line="240" w:lineRule="auto" w:before="40" w:after="120"/>
        <w:ind w:firstLine="0"/>
        <w:jc w:val="left"/>
      </w:pPr>
      <w:r>
        <w:rPr>
          <w:rFonts w:ascii="Times New Roman" w:hAnsi="Times New Roman" w:cs="Times New Roman"/>
          <w:b w:val="0"/>
          <w:i w:val="0"/>
          <w:sz w:val="20"/>
        </w:rPr>
        <w:t>Fonte: elaborado pelo autor (2026).</w:t>
      </w:r>
    </w:p>
    <w:p>
      <w:pPr>
        <w:spacing w:line="360" w:lineRule="auto" w:before="0" w:after="0"/>
        <w:ind w:firstLine="709"/>
        <w:jc w:val="both"/>
      </w:pPr>
      <w:r>
        <w:rPr>
          <w:rFonts w:ascii="Times New Roman" w:hAnsi="Times New Roman" w:cs="Times New Roman"/>
          <w:b w:val="0"/>
          <w:i w:val="0"/>
          <w:sz w:val="24"/>
        </w:rPr>
        <w:t>O total em dinheiro é zero, e o limite que restringe o experimento não é financeiro: é a cota — cerca de 10 requisições a cada 6 minutos, medidas neste projeto, contra 60 a 270 requisições ao modelo por tarefa do DeepSWE (Huang et al., 2026) —, razão pela qual a matriz é executada em lotes distribuídos ao longo de dias e o custo monetário aparece apenas como contrafactual de ordem de grandeza sobre as tarifas pagas publicadas. O Docker é obrigatório, porque o executor falha sem ele (Datacurve, 2026), e a GPU da estação é irrelevante para todo resultado reportado.</w:t>
      </w:r>
    </w:p>
    <w:p>
      <w:pPr>
        <w:keepNext/>
        <w:spacing w:line="360" w:lineRule="auto" w:before="240" w:after="120"/>
        <w:ind w:firstLine="0"/>
      </w:pPr>
      <w:r>
        <w:rPr>
          <w:rFonts w:ascii="Times New Roman" w:hAnsi="Times New Roman" w:cs="Times New Roman"/>
          <w:b/>
          <w:i w:val="0"/>
          <w:sz w:val="28"/>
        </w:rPr>
        <w:t>5 CRONOGRAMA</w:t>
      </w:r>
    </w:p>
    <w:p>
      <w:pPr>
        <w:spacing w:line="360" w:lineRule="auto" w:before="0" w:after="0"/>
        <w:ind w:firstLine="709"/>
        <w:jc w:val="both"/>
      </w:pPr>
      <w:r>
        <w:rPr>
          <w:rFonts w:ascii="Times New Roman" w:hAnsi="Times New Roman" w:cs="Times New Roman"/>
          <w:b w:val="0"/>
          <w:i w:val="0"/>
          <w:sz w:val="24"/>
        </w:rPr>
        <w:t>A cadência é de um lote da matriz por dia, porque a cota gratuita é o limite vinculante; um calendário que se estende por semanas é consequência do desenho e não atraso. A folga está onde está o risco — na execução da matriz e nos portões de confiabilidade dos braços —, e não na escrita. Os meses são numerados de forma relativa porque a data de entrega ainda não está confirmada: [A DEFINIR — #7].</w:t>
      </w:r>
    </w:p>
    <w:p>
      <w:pPr>
        <w:keepNext/>
        <w:spacing w:line="240" w:lineRule="auto" w:before="120" w:after="40"/>
        <w:ind w:firstLine="0"/>
        <w:jc w:val="left"/>
      </w:pPr>
      <w:r>
        <w:rPr>
          <w:rFonts w:ascii="Times New Roman" w:hAnsi="Times New Roman" w:cs="Times New Roman"/>
          <w:b w:val="0"/>
          <w:i w:val="0"/>
          <w:sz w:val="20"/>
        </w:rPr>
        <w:t>Tabela 3 – Cronograma de execução</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4309"/>
          </w:tcPr>
          <w:p>
            <w:pPr>
              <w:spacing w:line="240" w:lineRule="auto" w:before="20" w:after="20"/>
              <w:ind w:firstLine="0"/>
            </w:pPr>
            <w:r/>
            <w:r>
              <w:rPr>
                <w:rFonts w:ascii="Times New Roman" w:hAnsi="Times New Roman" w:cs="Times New Roman"/>
                <w:b/>
                <w:i w:val="0"/>
                <w:sz w:val="18"/>
              </w:rPr>
              <w:t>FASES</w:t>
            </w:r>
          </w:p>
        </w:tc>
        <w:tc>
          <w:tcPr>
            <w:tcW w:type="dxa" w:w="952"/>
          </w:tcPr>
          <w:p>
            <w:pPr>
              <w:spacing w:line="240" w:lineRule="auto" w:before="20" w:after="20"/>
              <w:ind w:firstLine="0"/>
              <w:jc w:val="center"/>
            </w:pPr>
            <w:r/>
            <w:r>
              <w:rPr>
                <w:rFonts w:ascii="Times New Roman" w:hAnsi="Times New Roman" w:cs="Times New Roman"/>
                <w:b/>
                <w:i w:val="0"/>
                <w:sz w:val="18"/>
              </w:rPr>
              <w:t>MÊS 1</w:t>
            </w:r>
          </w:p>
        </w:tc>
        <w:tc>
          <w:tcPr>
            <w:tcW w:type="dxa" w:w="952"/>
          </w:tcPr>
          <w:p>
            <w:pPr>
              <w:spacing w:line="240" w:lineRule="auto" w:before="20" w:after="20"/>
              <w:ind w:firstLine="0"/>
              <w:jc w:val="center"/>
            </w:pPr>
            <w:r/>
            <w:r>
              <w:rPr>
                <w:rFonts w:ascii="Times New Roman" w:hAnsi="Times New Roman" w:cs="Times New Roman"/>
                <w:b/>
                <w:i w:val="0"/>
                <w:sz w:val="18"/>
              </w:rPr>
              <w:t>MÊS 2</w:t>
            </w:r>
          </w:p>
        </w:tc>
        <w:tc>
          <w:tcPr>
            <w:tcW w:type="dxa" w:w="952"/>
          </w:tcPr>
          <w:p>
            <w:pPr>
              <w:spacing w:line="240" w:lineRule="auto" w:before="20" w:after="20"/>
              <w:ind w:firstLine="0"/>
              <w:jc w:val="center"/>
            </w:pPr>
            <w:r/>
            <w:r>
              <w:rPr>
                <w:rFonts w:ascii="Times New Roman" w:hAnsi="Times New Roman" w:cs="Times New Roman"/>
                <w:b/>
                <w:i w:val="0"/>
                <w:sz w:val="18"/>
              </w:rPr>
              <w:t>MÊS 3</w:t>
            </w:r>
          </w:p>
        </w:tc>
        <w:tc>
          <w:tcPr>
            <w:tcW w:type="dxa" w:w="952"/>
          </w:tcPr>
          <w:p>
            <w:pPr>
              <w:spacing w:line="240" w:lineRule="auto" w:before="20" w:after="20"/>
              <w:ind w:firstLine="0"/>
              <w:jc w:val="center"/>
            </w:pPr>
            <w:r/>
            <w:r>
              <w:rPr>
                <w:rFonts w:ascii="Times New Roman" w:hAnsi="Times New Roman" w:cs="Times New Roman"/>
                <w:b/>
                <w:i w:val="0"/>
                <w:sz w:val="18"/>
              </w:rPr>
              <w:t>MÊS 4</w:t>
            </w:r>
          </w:p>
        </w:tc>
        <w:tc>
          <w:tcPr>
            <w:tcW w:type="dxa" w:w="952"/>
          </w:tcPr>
          <w:p>
            <w:pPr>
              <w:spacing w:line="240" w:lineRule="auto" w:before="20" w:after="20"/>
              <w:ind w:firstLine="0"/>
              <w:jc w:val="center"/>
            </w:pPr>
            <w:r/>
            <w:r>
              <w:rPr>
                <w:rFonts w:ascii="Times New Roman" w:hAnsi="Times New Roman" w:cs="Times New Roman"/>
                <w:b/>
                <w:i w:val="0"/>
                <w:sz w:val="18"/>
              </w:rPr>
              <w:t>MÊS 5</w:t>
            </w:r>
          </w:p>
        </w:tc>
      </w:tr>
      <w:tr>
        <w:tc>
          <w:tcPr>
            <w:tcW w:type="dxa" w:w="4309"/>
          </w:tcPr>
          <w:p>
            <w:pPr>
              <w:spacing w:line="240" w:lineRule="auto" w:before="20" w:after="20"/>
              <w:ind w:firstLine="0"/>
            </w:pPr>
            <w:r/>
            <w:r>
              <w:rPr>
                <w:rFonts w:ascii="Times New Roman" w:hAnsi="Times New Roman" w:cs="Times New Roman"/>
                <w:b w:val="0"/>
                <w:i w:val="0"/>
                <w:sz w:val="18"/>
              </w:rPr>
              <w:t>LEITURA E LEVANTAMENTO BIBLIOGRÁFICO</w:t>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r>
      <w:tr>
        <w:tc>
          <w:tcPr>
            <w:tcW w:type="dxa" w:w="4309"/>
          </w:tcPr>
          <w:p>
            <w:pPr>
              <w:spacing w:line="240" w:lineRule="auto" w:before="20" w:after="20"/>
              <w:ind w:firstLine="0"/>
            </w:pPr>
            <w:r/>
            <w:r>
              <w:rPr>
                <w:rFonts w:ascii="Times New Roman" w:hAnsi="Times New Roman" w:cs="Times New Roman"/>
                <w:b w:val="0"/>
                <w:i w:val="0"/>
                <w:sz w:val="18"/>
              </w:rPr>
              <w:t>DEFINIÇÃO DO TEMA, DO PROBLEMA E DAS HIPÓTESES</w:t>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r>
      <w:tr>
        <w:tc>
          <w:tcPr>
            <w:tcW w:type="dxa" w:w="4309"/>
          </w:tcPr>
          <w:p>
            <w:pPr>
              <w:spacing w:line="240" w:lineRule="auto" w:before="20" w:after="20"/>
              <w:ind w:firstLine="0"/>
            </w:pPr>
            <w:r/>
            <w:r>
              <w:rPr>
                <w:rFonts w:ascii="Times New Roman" w:hAnsi="Times New Roman" w:cs="Times New Roman"/>
                <w:b w:val="0"/>
                <w:i w:val="0"/>
                <w:sz w:val="18"/>
              </w:rPr>
              <w:t>CONSTRUÇÃO DO INSTRUMENTO E DO HARNESS ZERO</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r>
      <w:tr>
        <w:tc>
          <w:tcPr>
            <w:tcW w:type="dxa" w:w="4309"/>
          </w:tcPr>
          <w:p>
            <w:pPr>
              <w:spacing w:line="240" w:lineRule="auto" w:before="20" w:after="20"/>
              <w:ind w:firstLine="0"/>
            </w:pPr>
            <w:r/>
            <w:r>
              <w:rPr>
                <w:rFonts w:ascii="Times New Roman" w:hAnsi="Times New Roman" w:cs="Times New Roman"/>
                <w:b w:val="0"/>
                <w:i w:val="0"/>
                <w:sz w:val="18"/>
              </w:rPr>
              <w:t>ESCREVENDO INTRODUÇÃO</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r>
      <w:tr>
        <w:tc>
          <w:tcPr>
            <w:tcW w:type="dxa" w:w="4309"/>
          </w:tcPr>
          <w:p>
            <w:pPr>
              <w:spacing w:line="240" w:lineRule="auto" w:before="20" w:after="20"/>
              <w:ind w:firstLine="0"/>
            </w:pPr>
            <w:r/>
            <w:r>
              <w:rPr>
                <w:rFonts w:ascii="Times New Roman" w:hAnsi="Times New Roman" w:cs="Times New Roman"/>
                <w:b w:val="0"/>
                <w:i w:val="0"/>
                <w:sz w:val="18"/>
              </w:rPr>
              <w:t>ESCREVENDO REFERENCIAL TEÓRICO</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r>
      <w:tr>
        <w:tc>
          <w:tcPr>
            <w:tcW w:type="dxa" w:w="4309"/>
          </w:tcPr>
          <w:p>
            <w:pPr>
              <w:spacing w:line="240" w:lineRule="auto" w:before="20" w:after="20"/>
              <w:ind w:firstLine="0"/>
            </w:pPr>
            <w:r/>
            <w:r>
              <w:rPr>
                <w:rFonts w:ascii="Times New Roman" w:hAnsi="Times New Roman" w:cs="Times New Roman"/>
                <w:b w:val="0"/>
                <w:i w:val="0"/>
                <w:sz w:val="18"/>
              </w:rPr>
              <w:t>ESCREVENDO MATERIAL E MÉTODO</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p>
        </w:tc>
      </w:tr>
      <w:tr>
        <w:tc>
          <w:tcPr>
            <w:tcW w:type="dxa" w:w="4309"/>
          </w:tcPr>
          <w:p>
            <w:pPr>
              <w:spacing w:line="240" w:lineRule="auto" w:before="20" w:after="20"/>
              <w:ind w:firstLine="0"/>
            </w:pPr>
            <w:r/>
            <w:r>
              <w:rPr>
                <w:rFonts w:ascii="Times New Roman" w:hAnsi="Times New Roman" w:cs="Times New Roman"/>
                <w:b w:val="0"/>
                <w:i w:val="0"/>
                <w:sz w:val="18"/>
              </w:rPr>
              <w:t>EXECUÇÃO DA MATRIZ DE EXPERIMENTOS</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r>
              <w:rPr>
                <w:rFonts w:ascii="Times New Roman" w:hAnsi="Times New Roman" w:cs="Times New Roman"/>
                <w:b w:val="0"/>
                <w:i w:val="0"/>
                <w:sz w:val="18"/>
              </w:rPr>
              <w:t>X</w:t>
            </w:r>
          </w:p>
        </w:tc>
      </w:tr>
      <w:tr>
        <w:tc>
          <w:tcPr>
            <w:tcW w:type="dxa" w:w="4309"/>
          </w:tcPr>
          <w:p>
            <w:pPr>
              <w:spacing w:line="240" w:lineRule="auto" w:before="20" w:after="20"/>
              <w:ind w:firstLine="0"/>
            </w:pPr>
            <w:r/>
            <w:r>
              <w:rPr>
                <w:rFonts w:ascii="Times New Roman" w:hAnsi="Times New Roman" w:cs="Times New Roman"/>
                <w:b w:val="0"/>
                <w:i w:val="0"/>
                <w:sz w:val="18"/>
              </w:rPr>
              <w:t>ANÁLISE DOS RESULTADOS</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r>
              <w:rPr>
                <w:rFonts w:ascii="Times New Roman" w:hAnsi="Times New Roman" w:cs="Times New Roman"/>
                <w:b w:val="0"/>
                <w:i w:val="0"/>
                <w:sz w:val="18"/>
              </w:rPr>
              <w:t>X</w:t>
            </w:r>
          </w:p>
        </w:tc>
      </w:tr>
      <w:tr>
        <w:tc>
          <w:tcPr>
            <w:tcW w:type="dxa" w:w="4309"/>
          </w:tcPr>
          <w:p>
            <w:pPr>
              <w:spacing w:line="240" w:lineRule="auto" w:before="20" w:after="20"/>
              <w:ind w:firstLine="0"/>
            </w:pPr>
            <w:r/>
            <w:r>
              <w:rPr>
                <w:rFonts w:ascii="Times New Roman" w:hAnsi="Times New Roman" w:cs="Times New Roman"/>
                <w:b w:val="0"/>
                <w:i w:val="0"/>
                <w:sz w:val="18"/>
              </w:rPr>
              <w:t>ELABORANDO AS REFERÊNCIAS</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r>
              <w:rPr>
                <w:rFonts w:ascii="Times New Roman" w:hAnsi="Times New Roman" w:cs="Times New Roman"/>
                <w:b w:val="0"/>
                <w:i w:val="0"/>
                <w:sz w:val="18"/>
              </w:rPr>
              <w:t>X</w:t>
            </w:r>
          </w:p>
        </w:tc>
      </w:tr>
      <w:tr>
        <w:tc>
          <w:tcPr>
            <w:tcW w:type="dxa" w:w="4309"/>
          </w:tcPr>
          <w:p>
            <w:pPr>
              <w:spacing w:line="240" w:lineRule="auto" w:before="20" w:after="20"/>
              <w:ind w:firstLine="0"/>
            </w:pPr>
            <w:r/>
            <w:r>
              <w:rPr>
                <w:rFonts w:ascii="Times New Roman" w:hAnsi="Times New Roman" w:cs="Times New Roman"/>
                <w:b w:val="0"/>
                <w:i w:val="0"/>
                <w:sz w:val="18"/>
              </w:rPr>
              <w:t>REVISÃO FINAL E PREPARAÇÃO DA APRESENTAÇÃO</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r>
              <w:rPr>
                <w:rFonts w:ascii="Times New Roman" w:hAnsi="Times New Roman" w:cs="Times New Roman"/>
                <w:b w:val="0"/>
                <w:i w:val="0"/>
                <w:sz w:val="18"/>
              </w:rPr>
              <w:t>X</w:t>
            </w:r>
          </w:p>
        </w:tc>
      </w:tr>
    </w:tbl>
    <w:p>
      <w:pPr>
        <w:keepNext w:val="0"/>
        <w:spacing w:line="240" w:lineRule="auto" w:before="40" w:after="120"/>
        <w:ind w:firstLine="0"/>
        <w:jc w:val="left"/>
      </w:pPr>
      <w:r>
        <w:rPr>
          <w:rFonts w:ascii="Times New Roman" w:hAnsi="Times New Roman" w:cs="Times New Roman"/>
          <w:b w:val="0"/>
          <w:i w:val="0"/>
          <w:sz w:val="20"/>
        </w:rPr>
        <w:t>Fonte: elaborado pelo autor (2026).</w:t>
      </w:r>
    </w:p>
    <w:p>
      <w:pPr>
        <w:keepNext/>
        <w:spacing w:line="360" w:lineRule="auto" w:before="240" w:after="120"/>
        <w:ind w:firstLine="0"/>
      </w:pPr>
      <w:r>
        <w:rPr>
          <w:rFonts w:ascii="Times New Roman" w:hAnsi="Times New Roman" w:cs="Times New Roman"/>
          <w:b/>
          <w:i w:val="0"/>
          <w:sz w:val="28"/>
        </w:rPr>
        <w:t>6 REFERÊNCIAS</w:t>
      </w:r>
    </w:p>
    <w:p>
      <w:pPr>
        <w:spacing w:line="240" w:lineRule="auto" w:before="0" w:after="240"/>
        <w:ind w:firstLine="0"/>
        <w:jc w:val="left"/>
      </w:pPr>
      <w:r>
        <w:rPr>
          <w:rFonts w:ascii="Times New Roman" w:hAnsi="Times New Roman" w:cs="Times New Roman"/>
          <w:b w:val="0"/>
          <w:i w:val="0"/>
          <w:sz w:val="24"/>
        </w:rPr>
        <w:t xml:space="preserve">AKITA, Fabio. </w:t>
      </w:r>
      <w:r>
        <w:rPr>
          <w:rFonts w:ascii="Times New Roman" w:hAnsi="Times New Roman" w:cs="Times New Roman"/>
          <w:b/>
          <w:i w:val="0"/>
          <w:sz w:val="24"/>
        </w:rPr>
        <w:t>Novo LLM Benchmark</w:t>
      </w:r>
      <w:r>
        <w:rPr>
          <w:rFonts w:ascii="Times New Roman" w:hAnsi="Times New Roman" w:cs="Times New Roman"/>
          <w:b w:val="0"/>
          <w:i w:val="0"/>
          <w:sz w:val="24"/>
        </w:rPr>
        <w:t>: refiz todos os testes! 30 jul. 2026. Disponível em: https://akitaonrails.com/2026/07/30/novo-llm-benchmark-refiz-todos-os-testes/. Acesso em: 28 ago. 2026.</w:t>
      </w:r>
    </w:p>
    <w:p>
      <w:pPr>
        <w:spacing w:line="240" w:lineRule="auto" w:before="0" w:after="240"/>
        <w:ind w:firstLine="0"/>
        <w:jc w:val="left"/>
      </w:pPr>
      <w:r>
        <w:rPr>
          <w:rFonts w:ascii="Times New Roman" w:hAnsi="Times New Roman" w:cs="Times New Roman"/>
          <w:b w:val="0"/>
          <w:i w:val="0"/>
          <w:sz w:val="24"/>
        </w:rPr>
        <w:t xml:space="preserve">ASSOCIAÇÃO BRASILEIRA DE NORMAS TÉCNICAS. </w:t>
      </w:r>
      <w:r>
        <w:rPr>
          <w:rFonts w:ascii="Times New Roman" w:hAnsi="Times New Roman" w:cs="Times New Roman"/>
          <w:b/>
          <w:i w:val="0"/>
          <w:sz w:val="24"/>
        </w:rPr>
        <w:t>NBR 6023</w:t>
      </w:r>
      <w:r>
        <w:rPr>
          <w:rFonts w:ascii="Times New Roman" w:hAnsi="Times New Roman" w:cs="Times New Roman"/>
          <w:b w:val="0"/>
          <w:i w:val="0"/>
          <w:sz w:val="24"/>
        </w:rPr>
        <w:t>: informação e documentação — referências — elaboração. 3. ed. Rio de Janeiro: ABNT, 2025.</w:t>
      </w:r>
    </w:p>
    <w:p>
      <w:pPr>
        <w:spacing w:line="240" w:lineRule="auto" w:before="0" w:after="240"/>
        <w:ind w:firstLine="0"/>
        <w:jc w:val="left"/>
      </w:pPr>
      <w:r>
        <w:rPr>
          <w:rFonts w:ascii="Times New Roman" w:hAnsi="Times New Roman" w:cs="Times New Roman"/>
          <w:b w:val="0"/>
          <w:i w:val="0"/>
          <w:sz w:val="24"/>
        </w:rPr>
        <w:t xml:space="preserve">ASSOCIAÇÃO BRASILEIRA DE NORMAS TÉCNICAS. </w:t>
      </w:r>
      <w:r>
        <w:rPr>
          <w:rFonts w:ascii="Times New Roman" w:hAnsi="Times New Roman" w:cs="Times New Roman"/>
          <w:b/>
          <w:i w:val="0"/>
          <w:sz w:val="24"/>
        </w:rPr>
        <w:t>NBR 10520</w:t>
      </w:r>
      <w:r>
        <w:rPr>
          <w:rFonts w:ascii="Times New Roman" w:hAnsi="Times New Roman" w:cs="Times New Roman"/>
          <w:b w:val="0"/>
          <w:i w:val="0"/>
          <w:sz w:val="24"/>
        </w:rPr>
        <w:t>: informação e documentação — citações em documentos — apresentação. Rio de Janeiro: ABNT, 2023.</w:t>
      </w:r>
    </w:p>
    <w:p>
      <w:pPr>
        <w:spacing w:line="240" w:lineRule="auto" w:before="0" w:after="240"/>
        <w:ind w:firstLine="0"/>
        <w:jc w:val="left"/>
      </w:pPr>
      <w:r>
        <w:rPr>
          <w:rFonts w:ascii="Times New Roman" w:hAnsi="Times New Roman" w:cs="Times New Roman"/>
          <w:b w:val="0"/>
          <w:i w:val="0"/>
          <w:sz w:val="24"/>
        </w:rPr>
        <w:t xml:space="preserve">DATACURVE. </w:t>
      </w:r>
      <w:r>
        <w:rPr>
          <w:rFonts w:ascii="Times New Roman" w:hAnsi="Times New Roman" w:cs="Times New Roman"/>
          <w:b/>
          <w:i w:val="0"/>
          <w:sz w:val="24"/>
        </w:rPr>
        <w:t>Pier</w:t>
      </w:r>
      <w:r>
        <w:rPr>
          <w:rFonts w:ascii="Times New Roman" w:hAnsi="Times New Roman" w:cs="Times New Roman"/>
          <w:b w:val="0"/>
          <w:i w:val="0"/>
          <w:sz w:val="24"/>
        </w:rPr>
        <w:t>: a Harbor fork built for DeepSWE. 2026. Repositório de código. Disponível em: https://github.com/datacurve-ai/pier. Acesso em: 28 ago. 2026.</w:t>
      </w:r>
    </w:p>
    <w:p>
      <w:pPr>
        <w:spacing w:line="240" w:lineRule="auto" w:before="0" w:after="240"/>
        <w:ind w:firstLine="0"/>
        <w:jc w:val="left"/>
      </w:pPr>
      <w:r>
        <w:rPr>
          <w:rFonts w:ascii="Times New Roman" w:hAnsi="Times New Roman" w:cs="Times New Roman"/>
          <w:b w:val="0"/>
          <w:i w:val="0"/>
          <w:sz w:val="24"/>
        </w:rPr>
        <w:t xml:space="preserve">EARENDIL. </w:t>
      </w:r>
      <w:r>
        <w:rPr>
          <w:rFonts w:ascii="Times New Roman" w:hAnsi="Times New Roman" w:cs="Times New Roman"/>
          <w:b/>
          <w:i w:val="0"/>
          <w:sz w:val="24"/>
        </w:rPr>
        <w:t>Pi, minimal and performant</w:t>
      </w:r>
      <w:r>
        <w:rPr>
          <w:rFonts w:ascii="Times New Roman" w:hAnsi="Times New Roman" w:cs="Times New Roman"/>
          <w:b w:val="0"/>
          <w:i w:val="0"/>
          <w:sz w:val="24"/>
        </w:rPr>
        <w:t>. 2026. Publicação de blogue institucional. Disponível em: https://earendil.com/posts/pi-autoresearch-and-databricks/. Acesso em: 28 ago. 2026.</w:t>
      </w:r>
    </w:p>
    <w:p>
      <w:pPr>
        <w:spacing w:line="240" w:lineRule="auto" w:before="0" w:after="240"/>
        <w:ind w:firstLine="0"/>
        <w:jc w:val="left"/>
      </w:pPr>
      <w:r>
        <w:rPr>
          <w:rFonts w:ascii="Times New Roman" w:hAnsi="Times New Roman" w:cs="Times New Roman"/>
          <w:b w:val="0"/>
          <w:i w:val="0"/>
          <w:sz w:val="24"/>
        </w:rPr>
        <w:t xml:space="preserve">GIL, Antonio Carlos. </w:t>
      </w:r>
      <w:r>
        <w:rPr>
          <w:rFonts w:ascii="Times New Roman" w:hAnsi="Times New Roman" w:cs="Times New Roman"/>
          <w:b/>
          <w:i w:val="0"/>
          <w:sz w:val="24"/>
        </w:rPr>
        <w:t>Como elaborar projetos de pesquisa</w:t>
      </w:r>
      <w:r>
        <w:rPr>
          <w:rFonts w:ascii="Times New Roman" w:hAnsi="Times New Roman" w:cs="Times New Roman"/>
          <w:b w:val="0"/>
          <w:i w:val="0"/>
          <w:sz w:val="24"/>
        </w:rPr>
        <w:t>. 7. ed. São Paulo: Atlas, 2022.</w:t>
      </w:r>
    </w:p>
    <w:p>
      <w:pPr>
        <w:spacing w:line="240" w:lineRule="auto" w:before="0" w:after="240"/>
        <w:ind w:firstLine="0"/>
        <w:jc w:val="left"/>
      </w:pPr>
      <w:r>
        <w:rPr>
          <w:rFonts w:ascii="Times New Roman" w:hAnsi="Times New Roman" w:cs="Times New Roman"/>
          <w:b w:val="0"/>
          <w:i w:val="0"/>
          <w:sz w:val="24"/>
        </w:rPr>
        <w:t xml:space="preserve">HARNESSRANK. </w:t>
      </w:r>
      <w:r>
        <w:rPr>
          <w:rFonts w:ascii="Times New Roman" w:hAnsi="Times New Roman" w:cs="Times New Roman"/>
          <w:b/>
          <w:i w:val="0"/>
          <w:sz w:val="24"/>
        </w:rPr>
        <w:t>HarnessRank</w:t>
      </w:r>
      <w:r>
        <w:rPr>
          <w:rFonts w:ascii="Times New Roman" w:hAnsi="Times New Roman" w:cs="Times New Roman"/>
          <w:b w:val="0"/>
          <w:i w:val="0"/>
          <w:sz w:val="24"/>
        </w:rPr>
        <w:t>: coding-agent harness rankings. 2026. Disponível em: https://harnessrank.net/. Acesso em: 28 ago. 2026.</w:t>
      </w:r>
    </w:p>
    <w:p>
      <w:pPr>
        <w:spacing w:line="240" w:lineRule="auto" w:before="0" w:after="240"/>
        <w:ind w:firstLine="0"/>
        <w:jc w:val="left"/>
      </w:pPr>
      <w:r>
        <w:rPr>
          <w:rFonts w:ascii="Times New Roman" w:hAnsi="Times New Roman" w:cs="Times New Roman"/>
          <w:b w:val="0"/>
          <w:i w:val="0"/>
          <w:sz w:val="24"/>
        </w:rPr>
        <w:t xml:space="preserve">HUANG, Wenqi; LEE, Charley; TNG, Leonard; GE, Serena. </w:t>
      </w:r>
      <w:r>
        <w:rPr>
          <w:rFonts w:ascii="Times New Roman" w:hAnsi="Times New Roman" w:cs="Times New Roman"/>
          <w:b/>
          <w:i w:val="0"/>
          <w:sz w:val="24"/>
        </w:rPr>
        <w:t>DeepSWE</w:t>
      </w:r>
      <w:r>
        <w:rPr>
          <w:rFonts w:ascii="Times New Roman" w:hAnsi="Times New Roman" w:cs="Times New Roman"/>
          <w:b w:val="0"/>
          <w:i w:val="0"/>
          <w:sz w:val="24"/>
        </w:rPr>
        <w:t xml:space="preserve">: measuring frontier coding agents on original, long-horizon engineering tasks. arXiv:2607.07946, 2026. </w:t>
      </w:r>
      <w:r>
        <w:rPr>
          <w:rFonts w:ascii="Times New Roman" w:hAnsi="Times New Roman" w:cs="Times New Roman"/>
          <w:b w:val="0"/>
          <w:i/>
          <w:sz w:val="24"/>
        </w:rPr>
        <w:t>Preprint</w:t>
      </w:r>
      <w:r>
        <w:rPr>
          <w:rFonts w:ascii="Times New Roman" w:hAnsi="Times New Roman" w:cs="Times New Roman"/>
          <w:b w:val="0"/>
          <w:i w:val="0"/>
          <w:sz w:val="24"/>
        </w:rPr>
        <w:t>, não revisado por pares. Disponível em: https://arxiv.org/abs/2607.07946. Acesso em: 28 ago. 2026.</w:t>
      </w:r>
    </w:p>
    <w:p>
      <w:pPr>
        <w:spacing w:line="240" w:lineRule="auto" w:before="0" w:after="240"/>
        <w:ind w:firstLine="0"/>
        <w:jc w:val="left"/>
      </w:pPr>
      <w:r>
        <w:rPr>
          <w:rFonts w:ascii="Times New Roman" w:hAnsi="Times New Roman" w:cs="Times New Roman"/>
          <w:b w:val="0"/>
          <w:i w:val="0"/>
          <w:sz w:val="24"/>
        </w:rPr>
        <w:t xml:space="preserve">INSTITUTO FEDERAL DE EDUCAÇÃO, CIÊNCIA E TECNOLOGIA DE MATO GROSSO. </w:t>
      </w:r>
      <w:r>
        <w:rPr>
          <w:rFonts w:ascii="Times New Roman" w:hAnsi="Times New Roman" w:cs="Times New Roman"/>
          <w:b/>
          <w:i w:val="0"/>
          <w:sz w:val="24"/>
        </w:rPr>
        <w:t>Normas básicas e padrões para a elaboração do Projeto de Conclusão de Curso (PCC)</w:t>
      </w:r>
      <w:r>
        <w:rPr>
          <w:rFonts w:ascii="Times New Roman" w:hAnsi="Times New Roman" w:cs="Times New Roman"/>
          <w:b w:val="0"/>
          <w:i w:val="0"/>
          <w:sz w:val="24"/>
        </w:rPr>
        <w:t>. Cuiabá: Campus Octayde Jorge da Silva, Departamento de Área de Informática, 2022.</w:t>
      </w:r>
    </w:p>
    <w:p>
      <w:pPr>
        <w:spacing w:line="240" w:lineRule="auto" w:before="0" w:after="240"/>
        <w:ind w:firstLine="0"/>
        <w:jc w:val="left"/>
      </w:pPr>
      <w:r>
        <w:rPr>
          <w:rFonts w:ascii="Times New Roman" w:hAnsi="Times New Roman" w:cs="Times New Roman"/>
          <w:b w:val="0"/>
          <w:i w:val="0"/>
          <w:sz w:val="24"/>
        </w:rPr>
        <w:t xml:space="preserve">JIMENEZ, Carlos E.; YANG, John; WETTIG, Alexander; YAO, Shunyu; PEI, Kexin; PRESS, Ofir; NARASIMHAN, Karthik. </w:t>
      </w:r>
      <w:r>
        <w:rPr>
          <w:rFonts w:ascii="Times New Roman" w:hAnsi="Times New Roman" w:cs="Times New Roman"/>
          <w:b/>
          <w:i w:val="0"/>
          <w:sz w:val="24"/>
        </w:rPr>
        <w:t>SWE-bench</w:t>
      </w:r>
      <w:r>
        <w:rPr>
          <w:rFonts w:ascii="Times New Roman" w:hAnsi="Times New Roman" w:cs="Times New Roman"/>
          <w:b w:val="0"/>
          <w:i w:val="0"/>
          <w:sz w:val="24"/>
        </w:rPr>
        <w:t>: can language models resolve real-world GitHub issues? arXiv:2310.06770, 2023. Trabalho apresentado na International Conference on Learning Representations (ICLR), 2024. Disponível em: https://arxiv.org/abs/2310.06770. Acesso em: 28 ago. 2026.</w:t>
      </w:r>
    </w:p>
    <w:p>
      <w:pPr>
        <w:spacing w:line="240" w:lineRule="auto" w:before="0" w:after="240"/>
        <w:ind w:firstLine="0"/>
        <w:jc w:val="left"/>
      </w:pPr>
      <w:r>
        <w:rPr>
          <w:rFonts w:ascii="Times New Roman" w:hAnsi="Times New Roman" w:cs="Times New Roman"/>
          <w:b w:val="0"/>
          <w:i w:val="0"/>
          <w:sz w:val="24"/>
        </w:rPr>
        <w:t xml:space="preserve">LIN, Jiahang; LIU, Shichun; PAN, Chengjun; LIN, Lizhi; DOU, Shihan; XI, Zhiheng; HUANG, Xuanjing; YAN, Hang; HAN, Zhenhua; GUI, Tao; JIANG, Yu-Gang. </w:t>
      </w:r>
      <w:r>
        <w:rPr>
          <w:rFonts w:ascii="Times New Roman" w:hAnsi="Times New Roman" w:cs="Times New Roman"/>
          <w:b/>
          <w:i w:val="0"/>
          <w:sz w:val="24"/>
        </w:rPr>
        <w:t>Agentic harness engineering</w:t>
      </w:r>
      <w:r>
        <w:rPr>
          <w:rFonts w:ascii="Times New Roman" w:hAnsi="Times New Roman" w:cs="Times New Roman"/>
          <w:b w:val="0"/>
          <w:i w:val="0"/>
          <w:sz w:val="24"/>
        </w:rPr>
        <w:t xml:space="preserve">: observability-driven automatic evolution of coding-agent harnesses. arXiv:2604.25850, 2026. </w:t>
      </w:r>
      <w:r>
        <w:rPr>
          <w:rFonts w:ascii="Times New Roman" w:hAnsi="Times New Roman" w:cs="Times New Roman"/>
          <w:b w:val="0"/>
          <w:i/>
          <w:sz w:val="24"/>
        </w:rPr>
        <w:t>Preprint</w:t>
      </w:r>
      <w:r>
        <w:rPr>
          <w:rFonts w:ascii="Times New Roman" w:hAnsi="Times New Roman" w:cs="Times New Roman"/>
          <w:b w:val="0"/>
          <w:i w:val="0"/>
          <w:sz w:val="24"/>
        </w:rPr>
        <w:t>, não revisado por pares. Disponível em: https://arxiv.org/abs/2604.25850. Acesso em: 28 ago. 2026.</w:t>
      </w:r>
    </w:p>
    <w:p>
      <w:pPr>
        <w:spacing w:line="240" w:lineRule="auto" w:before="0" w:after="240"/>
        <w:ind w:firstLine="0"/>
        <w:jc w:val="left"/>
      </w:pPr>
      <w:r>
        <w:rPr>
          <w:rFonts w:ascii="Times New Roman" w:hAnsi="Times New Roman" w:cs="Times New Roman"/>
          <w:b w:val="0"/>
          <w:i w:val="0"/>
          <w:sz w:val="24"/>
        </w:rPr>
        <w:t xml:space="preserve">NING, Xuying; TIEU, Katherine; FU, Dongqi; WEI, Tianxin; LI, Zihao et al. </w:t>
      </w:r>
      <w:r>
        <w:rPr>
          <w:rFonts w:ascii="Times New Roman" w:hAnsi="Times New Roman" w:cs="Times New Roman"/>
          <w:b/>
          <w:i w:val="0"/>
          <w:sz w:val="24"/>
        </w:rPr>
        <w:t>Code as agent harness</w:t>
      </w:r>
      <w:r>
        <w:rPr>
          <w:rFonts w:ascii="Times New Roman" w:hAnsi="Times New Roman" w:cs="Times New Roman"/>
          <w:b w:val="0"/>
          <w:i w:val="0"/>
          <w:sz w:val="24"/>
        </w:rPr>
        <w:t xml:space="preserve">. arXiv:2605.18747, 2026. </w:t>
      </w:r>
      <w:r>
        <w:rPr>
          <w:rFonts w:ascii="Times New Roman" w:hAnsi="Times New Roman" w:cs="Times New Roman"/>
          <w:b w:val="0"/>
          <w:i/>
          <w:sz w:val="24"/>
        </w:rPr>
        <w:t>Preprint</w:t>
      </w:r>
      <w:r>
        <w:rPr>
          <w:rFonts w:ascii="Times New Roman" w:hAnsi="Times New Roman" w:cs="Times New Roman"/>
          <w:b w:val="0"/>
          <w:i w:val="0"/>
          <w:sz w:val="24"/>
        </w:rPr>
        <w:t>, não revisado por pares. Disponível em: https://arxiv.org/abs/2605.18747. Acesso em: 28 ago. 2026.</w:t>
      </w:r>
    </w:p>
    <w:p>
      <w:pPr>
        <w:spacing w:line="240" w:lineRule="auto" w:before="0" w:after="240"/>
        <w:ind w:firstLine="0"/>
        <w:jc w:val="left"/>
      </w:pPr>
      <w:r>
        <w:rPr>
          <w:rFonts w:ascii="Times New Roman" w:hAnsi="Times New Roman" w:cs="Times New Roman"/>
          <w:b w:val="0"/>
          <w:i w:val="0"/>
          <w:sz w:val="24"/>
        </w:rPr>
        <w:t xml:space="preserve">OPENCODE. </w:t>
      </w:r>
      <w:r>
        <w:rPr>
          <w:rFonts w:ascii="Times New Roman" w:hAnsi="Times New Roman" w:cs="Times New Roman"/>
          <w:b/>
          <w:i w:val="0"/>
          <w:sz w:val="24"/>
        </w:rPr>
        <w:t>Zen</w:t>
      </w:r>
      <w:r>
        <w:rPr>
          <w:rFonts w:ascii="Times New Roman" w:hAnsi="Times New Roman" w:cs="Times New Roman"/>
          <w:b w:val="0"/>
          <w:i w:val="0"/>
          <w:sz w:val="24"/>
        </w:rPr>
        <w:t>. 2026. Documentação do produto. Disponível em: https://opencode.ai/docs/zen/. Acesso em: 28 ago. 2026.</w:t>
      </w:r>
    </w:p>
    <w:p>
      <w:pPr>
        <w:spacing w:line="240" w:lineRule="auto" w:before="0" w:after="240"/>
        <w:ind w:firstLine="0"/>
        <w:jc w:val="left"/>
      </w:pPr>
      <w:r>
        <w:rPr>
          <w:rFonts w:ascii="Times New Roman" w:hAnsi="Times New Roman" w:cs="Times New Roman"/>
          <w:b w:val="0"/>
          <w:i w:val="0"/>
          <w:sz w:val="24"/>
        </w:rPr>
        <w:t xml:space="preserve">PRODANOV, Cleber Cristiano; FREITAS, Ernani Cesar de. </w:t>
      </w:r>
      <w:r>
        <w:rPr>
          <w:rFonts w:ascii="Times New Roman" w:hAnsi="Times New Roman" w:cs="Times New Roman"/>
          <w:b/>
          <w:i w:val="0"/>
          <w:sz w:val="24"/>
        </w:rPr>
        <w:t>Metodologia do trabalho científico</w:t>
      </w:r>
      <w:r>
        <w:rPr>
          <w:rFonts w:ascii="Times New Roman" w:hAnsi="Times New Roman" w:cs="Times New Roman"/>
          <w:b w:val="0"/>
          <w:i w:val="0"/>
          <w:sz w:val="24"/>
        </w:rPr>
        <w:t>: métodos e técnicas da pesquisa e do trabalho acadêmico. 2. ed. Novo Hamburgo: Feevale, 2013. Disponível em: https://www.feevale.br/Comum/midias/0163c988-1f5d-496f-b118-a6e009a7a2f9/E-book%20Metodologia%20do%20Trabalho%20Cientifico.pdf. Acesso em: 28 ago. 2026.</w:t>
      </w:r>
    </w:p>
    <w:p>
      <w:pPr>
        <w:spacing w:line="240" w:lineRule="auto" w:before="0" w:after="240"/>
        <w:ind w:firstLine="0"/>
        <w:jc w:val="left"/>
      </w:pPr>
      <w:r>
        <w:rPr>
          <w:rFonts w:ascii="Times New Roman" w:hAnsi="Times New Roman" w:cs="Times New Roman"/>
          <w:b w:val="0"/>
          <w:i w:val="0"/>
          <w:sz w:val="24"/>
        </w:rPr>
        <w:t xml:space="preserve">YAO, Shunyu; ZHAO, Jeffrey; YU, Dian; DU, Nan; SHAFRAN, Izhak; NARASIMHAN, Karthik; CAO, Yuan. </w:t>
      </w:r>
      <w:r>
        <w:rPr>
          <w:rFonts w:ascii="Times New Roman" w:hAnsi="Times New Roman" w:cs="Times New Roman"/>
          <w:b/>
          <w:i w:val="0"/>
          <w:sz w:val="24"/>
        </w:rPr>
        <w:t>ReAct</w:t>
      </w:r>
      <w:r>
        <w:rPr>
          <w:rFonts w:ascii="Times New Roman" w:hAnsi="Times New Roman" w:cs="Times New Roman"/>
          <w:b w:val="0"/>
          <w:i w:val="0"/>
          <w:sz w:val="24"/>
        </w:rPr>
        <w:t>: synergizing reasoning and acting in language models. arXiv:2210.03629, 2022. Trabalho apresentado na International Conference on Learning Representations (ICLR), 2023. Disponível em: https://arxiv.org/abs/2210.03629. Acesso em: 28 ago. 2026.</w:t>
      </w:r>
    </w:p>
    <w:p>
      <w:pPr>
        <w:spacing w:line="240" w:lineRule="auto" w:before="0" w:after="240"/>
        <w:ind w:firstLine="0"/>
        <w:jc w:val="left"/>
      </w:pPr>
      <w:r>
        <w:rPr>
          <w:rFonts w:ascii="Times New Roman" w:hAnsi="Times New Roman" w:cs="Times New Roman"/>
          <w:b w:val="0"/>
          <w:i w:val="0"/>
          <w:sz w:val="24"/>
        </w:rPr>
        <w:t xml:space="preserve">YUUKIFST. </w:t>
      </w:r>
      <w:r>
        <w:rPr>
          <w:rFonts w:ascii="Times New Roman" w:hAnsi="Times New Roman" w:cs="Times New Roman"/>
          <w:b/>
          <w:i w:val="0"/>
          <w:sz w:val="24"/>
        </w:rPr>
        <w:t>harness-bench</w:t>
      </w:r>
      <w:r>
        <w:rPr>
          <w:rFonts w:ascii="Times New Roman" w:hAnsi="Times New Roman" w:cs="Times New Roman"/>
          <w:b w:val="0"/>
          <w:i w:val="0"/>
          <w:sz w:val="24"/>
        </w:rPr>
        <w:t>: runner, dados brutos e scripts de análise deste projeto. 2026. Repositório de código. Disponível em: https://github.com/YuukiFST/harness-bench. Acesso em: 28 ago. 2026.</w:t>
      </w:r>
    </w:p>
    <w:p>
      <w:pPr>
        <w:spacing w:line="240" w:lineRule="auto" w:before="0" w:after="240"/>
        <w:ind w:firstLine="0"/>
        <w:jc w:val="left"/>
      </w:pPr>
      <w:r>
        <w:rPr>
          <w:rFonts w:ascii="Times New Roman" w:hAnsi="Times New Roman" w:cs="Times New Roman"/>
          <w:b w:val="0"/>
          <w:i w:val="0"/>
          <w:sz w:val="24"/>
        </w:rPr>
        <w:t xml:space="preserve">ZHANG, Yunbei; WANG, Janet; GE, Yingqiang; XU, Weijie; HAMM, Jihun; REDDY, Chandan K. </w:t>
      </w:r>
      <w:r>
        <w:rPr>
          <w:rFonts w:ascii="Times New Roman" w:hAnsi="Times New Roman" w:cs="Times New Roman"/>
          <w:b/>
          <w:i w:val="0"/>
          <w:sz w:val="24"/>
        </w:rPr>
        <w:t>Stop comparing LLM agents without disclosing the harness</w:t>
      </w:r>
      <w:r>
        <w:rPr>
          <w:rFonts w:ascii="Times New Roman" w:hAnsi="Times New Roman" w:cs="Times New Roman"/>
          <w:b w:val="0"/>
          <w:i w:val="0"/>
          <w:sz w:val="24"/>
        </w:rPr>
        <w:t xml:space="preserve">. arXiv:2605.23950, 2026. </w:t>
      </w:r>
      <w:r>
        <w:rPr>
          <w:rFonts w:ascii="Times New Roman" w:hAnsi="Times New Roman" w:cs="Times New Roman"/>
          <w:b w:val="0"/>
          <w:i/>
          <w:sz w:val="24"/>
        </w:rPr>
        <w:t>Preprint</w:t>
      </w:r>
      <w:r>
        <w:rPr>
          <w:rFonts w:ascii="Times New Roman" w:hAnsi="Times New Roman" w:cs="Times New Roman"/>
          <w:b w:val="0"/>
          <w:i w:val="0"/>
          <w:sz w:val="24"/>
        </w:rPr>
        <w:t>, não revisado por pares. Disponível em: https://arxiv.org/abs/2605.23950. Acesso em: 28 ago. 2026.</w:t>
      </w:r>
    </w:p>
    <w:sectPr w:rsidR="00FC693F" w:rsidRPr="0006063C" w:rsidSect="00034616">
      <w:headerReference w:type="default" r:id="rId9"/>
      <w:pgSz w:w="11906" w:h="16838"/>
      <w:pgMar w:top="1701" w:right="1134" w:bottom="1134"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2">
    <w:p>
      <!-- CT_PPrBase is an xsd:sequence: w:spacing (21) precedes w:jc (26).
           This part is hand-built, so python-docx's ordered inserters never run
           and a wrong order reaches Word as "unreadable content". -->
      <w:pPr>
        <w:spacing w:after="0" w:line="240" w:lineRule="auto"/>
        <w:jc w:val="both"/>
      </w:pPr>
      <w:r>
        <w:rPr>
          <w:rFonts w:ascii="Times New Roman" w:hAnsi="Times New Roman" w:cs="Times New Roman"/>
          <w:sz w:val="20"/>
          <w:vertAlign w:val="superscript"/>
        </w:rPr>
        <w:footnoteRef/>
      </w:r>
      <w:r>
        <w:rPr>
          <w:rFonts w:ascii="Times New Roman" w:hAnsi="Times New Roman" w:cs="Times New Roman"/>
          <w:sz w:val="20"/>
        </w:rPr>
        <w:t xml:space="preserve"> Os exemplos de referência do template departamental (Instituto Federal de Mato Grosso, 2022) precedem as edições vigentes da NBR 6023 e da NBR 10520, e o template diverge de si mesmo ao alternar entre “Acesso em:” e “Acessado em:” e ao envolver endereços eletrônicos em colchetes angulares. Onde há contradição interna, seguiu-se a edição vigente: NBR 6023:2025 na lista de referências, sem colchetes angulares e com “Acesso em:” em todas as entradas, e NBR 10520:2023 nas citações do corpo do texto, com o sobrenome em caixa-alta apenas na lista de referências.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b w:val="0"/>
        <w:i w:val="0"/>
        <w:sz w:val="24"/>
      </w:rPr>
      <w:fldChar w:fldCharType="begin"/>
      <w:instrText xml:space="preserve"> PAGE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