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 MATO GROSSO - CAMPUS OCTAYDE JORGE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DIRETORIA DE ENSINO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DEPARTAMENTO DE ÁREA DE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/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O HARNESS NO CUSTO E NO DESEMPENHO DE AGENTES DE CODIFICAÇÃO: TOKENS E TAXA DE SUCESSO COM O MODELO FIXO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>
          <w:sz w:val="28"/>
          <w:szCs w:val="28"/>
        </w:rPr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O HARNESS NO CUSTO E NO DESEMPENHO DE AGENTES DE CODIFICAÇÃO: TOKENS E TAXA DE SUCESSO COM O MODELO FIXO</w:t>
      </w:r>
    </w:p>
    <w:p w:rsidR="00000000" w:rsidDel="00000000" w:rsidP="00000000" w:rsidRDefault="00000000" w:rsidRPr="00000000" w14:paraId="00000018">
      <w:pPr>
        <w:spacing w:after="0" w:line="240" w:lineRule="auto"/>
        <w:ind w:left="4535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240" w:line="240" w:lineRule="auto"/>
        <w:ind w:left="4535" w:firstLine="0"/>
        <w:jc w:val="both"/>
        <w:rPr/>
      </w:pPr>
      <w:r w:rsidDel="00000000" w:rsidR="00000000" w:rsidRPr="00000000">
        <w:rPr>
          <w:rtl w:val="0"/>
        </w:rPr>
        <w:t xml:space="preserve">Orientadora: Profa. Inara Silva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1 INTRODUÇÃO</w:t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2 REFERENCIAL TEÓRICO</w:t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3 MATERIAL E MÉTODO</w:t>
        <w:tab/>
        <w:t xml:space="preserve">3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4 ORÇAMENTO</w:t>
        <w:tab/>
        <w:t xml:space="preserve">5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5 CRONOGRAMA</w:t>
        <w:tab/>
        <w:t xml:space="preserve">5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0" w:line="360" w:lineRule="auto"/>
        <w:rPr/>
        <w:sectPr>
          <w:pgSz w:h="16838" w:w="11906" w:orient="portrait"/>
          <w:pgMar w:bottom="1134" w:top="1701" w:left="1701" w:right="1134" w:header="720" w:footer="720"/>
          <w:pgNumType w:start="1"/>
        </w:sectPr>
      </w:pPr>
      <w:r w:rsidDel="00000000" w:rsidR="00000000" w:rsidRPr="00000000">
        <w:rPr>
          <w:rtl w:val="0"/>
        </w:rPr>
        <w:t xml:space="preserve">6 REFERÊNCIAS</w:t>
        <w:tab/>
        <w:t xml:space="preserve">5</w:t>
      </w:r>
    </w:p>
    <w:p w:rsidR="00000000" w:rsidDel="00000000" w:rsidP="00000000" w:rsidRDefault="00000000" w:rsidRPr="00000000" w14:paraId="0000002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Justificativa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Um agente de codificação tem duas partes: o modelo de linguagem e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, o software ao redor dele que monta o contexto, expõe as ferramentas e conduz a execução (Claude Code, Codex, OpenCode, pi).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da Universidade da Califórnia em Berkeley, avaliaram sete modelos em três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 concluíram que a escolha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quase não muda a taxa de sucesso, mas muda o custo. No SWE-bench Lite, o Claude Fable 5 resolve 97,8% das tentativas no Claude Code e 96,7% no pi, e o Claude Code custa cerca do dobro por tentativa (US$ 1,33 contra US$ 0,67).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Quem paga por tokens paga também essa diferença, que os autores chamam de imposto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 Essas medições usam tarefas isoladas de </w:t>
      </w:r>
      <w:r>
        <w:rPr>
          <w:b w:val="0"/>
          <w:i/>
          <w:bCs w:val="0"/>
          <w:iCs w:val="0"/>
          <w:rtl w:val="0"/>
        </w:rPr>
        <w:t xml:space="preserve">benchmarks</w:t>
      </w:r>
      <w:r>
        <w:rPr>
          <w:b w:val="0"/>
          <w:i w:val="0"/>
          <w:bCs w:val="0"/>
          <w:iCs w:val="0"/>
          <w:rtl w:val="0"/>
        </w:rPr>
        <w:t xml:space="preserve"> que os modelos podem ter visto no treino, e os próprios autores apontam como próximo passo medir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fluxos reais de desenvolvimento, com tarefas de várias sessões. Este projeto constrói o mesmo produto, o Finn, com o OpenCode e com o pi, sobre o mesmo modelo e a mesma especificação, e conta os tokens fora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o custo e o desempenho de um modelo de linguagem fixo na construção de um produto de software completo.</w:t>
      </w:r>
    </w:p>
    <w:p w:rsidR="00000000" w:rsidDel="00000000" w:rsidP="00000000" w:rsidRDefault="00000000" w:rsidRPr="00000000" w14:paraId="00000030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Com o modelo fixo, quanto mudam o custo em tokens e a taxa de sucesso ao construir o mesmo software com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vez de outro, e quanto da diferença de custo vem da carga fixa que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envia em toda requisição?</w:t>
      </w:r>
    </w:p>
    <w:p w:rsidR="00000000" w:rsidDel="00000000" w:rsidP="00000000" w:rsidRDefault="00000000" w:rsidRPr="00000000" w14:paraId="00000032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Medir, com o modelo fixo, a diferença de tokens e de taxa de sucesso atribuível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na construção do mesmo produto a partir da mesma especificação, com o OpenCode e o pi como braços, e separar a parcela que vem da carga fixa por requisição.</w:t>
      </w:r>
    </w:p>
    <w:p w:rsidR="00000000" w:rsidDel="00000000" w:rsidP="00000000" w:rsidRDefault="00000000" w:rsidRPr="00000000" w14:paraId="00000034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1) construir 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que conta requisições, tokens e latência por braço;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2) escrever a especificação do Finn em nove unidades, com testes de aceitação;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3) construir o Finn nos dois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, com o mesmo modelo,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e espaço inicial;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4) repetir em um segundo modelo e verificar se a ordenação dos braços se mantém;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5) comparar os tokens relatados por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com os medidos no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6) publicar executor,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, testes, dados e scripts de análise.</w:t>
      </w:r>
    </w:p>
    <w:p w:rsidR="00000000" w:rsidDel="00000000" w:rsidP="00000000" w:rsidRDefault="00000000" w:rsidRPr="00000000" w14:paraId="0000003C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Pesquisa aplicada, quali-quantitativa, exploratória e experimental, de método dedutivo.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reverso entre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o modelo contará requisições, tokens e latência da mesma forma para os dois braços. Cada braço construirá o Finn do zero, em nove unidades, ao menos três vezes, e a diferença entre os braços será comparada unidade a unidade.</w:t>
      </w:r>
    </w:p>
    <w:p w:rsidR="00000000" w:rsidDel="00000000" w:rsidP="00000000" w:rsidRDefault="00000000" w:rsidRPr="00000000" w14:paraId="0000003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Hipótese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H1: com o modelo fixo,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muda mais o custo do que o sucesso. Os tokens por unidade diferem entre o OpenCode e o pi, e a fração de testes aprovados fica igual. H1 será refutada se o teste pareado não apontar diferença de tokens ou se apontar diferença de sucesso.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H2: a carga fixa por requisição (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esquemas de ferramenta) explica a maior parte da diferença de tokens, e o número de passos explica a menor. H2 será refutada se os passos ou o conteúdo da conversa explicarem a maior parte.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Após esta introdução, a seção 2 apresenta o referencial teórico e a seção 3, o material e método. As seções 4, 5 e 6 trazem o orçamento, o cronograma e as referências.</w:t>
      </w:r>
    </w:p>
    <w:p w:rsidR="00000000" w:rsidDel="00000000" w:rsidP="00000000" w:rsidRDefault="00000000" w:rsidRPr="00000000" w14:paraId="00000042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REFERENCIAL TEÓRICO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Segundo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§2, tradução nossa),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“converte um modelo de linguagem sem estado em um agente funcional ao ancorar suas saídas em execução externa, estado persistente e realimentação verificável”.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delimitam o que essa camada contém:</w:t>
      </w:r>
    </w:p>
    <w:p w:rsidR="00000000" w:rsidDel="00000000" w:rsidP="00000000" w:rsidRDefault="00000000" w:rsidRPr="00000000" w14:paraId="00000044">
      <w:pPr>
        <w:spacing w:after="240" w:before="240" w:line="240" w:lineRule="auto"/>
        <w:ind w:left="2268" w:firstLine="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Na prática, esse progresso depende não apenas do modelo de linguagem subjacente, mas igualmente dos componentes de engenharia que o cercam: o prompt de sistema que molda o estilo de trabalho, as ferramentas que expõem o sistema de arquivos e o shell, e o middleware que controla contexto, execução e recuperação. Esse conjunto de componentes externos ao modelo e editáveis é chamado coletivamente de harness do agente. (Lin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et al.</w:t>
      </w:r>
      <w:r w:rsidDel="00000000" w:rsidR="00000000" w:rsidRPr="00000000">
        <w:rPr>
          <w:sz w:val="20"/>
          <w:szCs w:val="20"/>
          <w:rtl w:val="0"/>
        </w:rPr>
        <w:t xml:space="preserve">, 2026, §1, tradução nossa).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Só esse conjunto varia entre os braços deste experimento. O pi envia quatro ferramentas e um </w:t>
      </w:r>
      <w:r>
        <w:rPr>
          <w:b w:val="0"/>
          <w:i/>
          <w:rtl w:val="0"/>
        </w:rPr>
        <w:t xml:space="preserve">prompt</w:t>
      </w:r>
      <w:r>
        <w:rPr>
          <w:b w:val="0"/>
          <w:i w:val="0"/>
          <w:rtl w:val="0"/>
        </w:rPr>
        <w:t xml:space="preserve"> de sistema curto, e o OpenCode envia mais ferramentas, um </w:t>
      </w:r>
      <w:r>
        <w:rPr>
          <w:b w:val="0"/>
          <w:i/>
          <w:rtl w:val="0"/>
        </w:rPr>
        <w:t xml:space="preserve">prompt</w:t>
      </w:r>
      <w:r>
        <w:rPr>
          <w:b w:val="0"/>
          <w:i w:val="0"/>
          <w:rtl w:val="0"/>
        </w:rPr>
        <w:t xml:space="preserve"> maior, subagentes e permissões.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Na Tabela 1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escritos por humanos sobre o GPT-5.4 vão de 47,2% de aprovação no OpenCode a 71,9% no Codex, no Terminal-Bench 2. Zhang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sustentam que, entre modelos de fronteira comparáveis, a parcela do desempenho que vem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comparável ou maior que a do modelo.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mediram outra coisa no SWE-bench Lite: o efeito médio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a taxa de sucesso ficou dentro de ±2%, enquanto o Claude Code custou cerca de 2,0 vezes o pi. Como as fontes divergem sobre o sucesso, este projeto mede sucesso e custo juntos.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primeira pendência é saber de onde vem a diferença de custo.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a primeira requisição. O contexto inicial do Claude Code passa de dez vezes o do pi, com número de turnos parecido (15,3 contra 15,4 no Claude Fable 5). Liu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o resto da conversa. Mudando só a execução das ações, a compactação de contexto e o tratamento das observações, cortaram de 44,7% a 49,0% dos tokens em relação ao pi e mantiveram de 93,7% a 94,3% da pontuação dele.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§5.2.7, tradução nossa) pedem “métricas que isolem componentes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”, e H2 testa se pesa mais a carga fixa ou a conversa.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segunda pendência é a instrumentação.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conta turnos e tokens do seu jeito, e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registram que a definição de turno varia entre eles. Aqui a medição ocorre em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externo, igual para os dois braços, e o objetivo (5) compara essa medida com o relato de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As métricas serão tokens por construção, ao lado da fração de testes aprovados, e o Succ/Mtok (sucessos por milhão de tokens)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(2026). O efeito também depende do modelo, pois em nove de doze comparações de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o maior sucesso veio de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de outro fornecedor. Por isso o desenho terá dois níveis de modelo.</w:t>
      </w:r>
    </w:p>
    <w:p w:rsidR="00000000" w:rsidDel="00000000" w:rsidP="00000000" w:rsidRDefault="00000000" w:rsidRPr="00000000" w14:paraId="0000004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MATERIAL E MÉTODO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pesquisa é aplicada quanto à finalidade, quali-quantitativa quanto à abordagem, exploratória quanto aos objetivos, experimental quanto aos procedimentos e dedutiva quanto ao método. É exploratória porque não há comparação publicada de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construindo o mesmo produto completo.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a variável manipulada, e modelo, especificação, espaço de trabalho inicial e limites ficam controlados.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Conforme a Portaria CNPq nº 2.664/2026 (Brasil, 2026), declara-se o uso do Claude Code no levantamento das fontes, organizado pelo método </w:t>
      </w:r>
      <w:r>
        <w:rPr>
          <w:b w:val="0"/>
          <w:i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 de Karpathy (2026) no repositório do projeto (YuukiFST, 2026c), e na especificação do Finn, feita com o Helmsman (YuukiFST, 2026a). O autor conferiu cada afirmação citada na obra original e responde pelo texto e pelas decisões de produto.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medição terá duas camadas. A Camada 1 mede, contra um </w:t>
      </w:r>
      <w:r>
        <w:rPr>
          <w:b w:val="0"/>
          <w:i/>
          <w:bCs w:val="0"/>
          <w:iCs w:val="0"/>
          <w:rtl w:val="0"/>
        </w:rPr>
        <w:t xml:space="preserve">endpoint</w:t>
      </w:r>
      <w:r>
        <w:rPr>
          <w:b w:val="0"/>
          <w:i w:val="0"/>
          <w:bCs w:val="0"/>
          <w:iCs w:val="0"/>
          <w:rtl w:val="0"/>
        </w:rPr>
        <w:t xml:space="preserve"> simulado, os esquemas de ferramenta, o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os tokens de cada requisição, e fornece a carga fixa que H2 usa. A Camada 2 mede a construção do produto contra o modelo real.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braços serão o OpenCode (Opencode, 2026a) e o pi (Earendil, 2026). Os dois são de código aberto, rodam sem interface e aceitam URL base compatível com a API da OpenAI, o que permite passá-los pelo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. As versões serão fixadas e registradas no repositório (YuukiFST, 2026c).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produto será o Finn, SaaS multiempresa em que a empresa cliente fala com o próprio financeiro por voz e recebe lançamento, relatório e aviso no celular (YuukiFST, 2026b). Produto e pilha foram decididos antes do experimento, em 21 </w:t>
      </w:r>
      <w:r>
        <w:rPr>
          <w:b w:val="0"/>
          <w:i/>
          <w:bCs w:val="0"/>
          <w:iCs w:val="0"/>
          <w:rtl w:val="0"/>
        </w:rPr>
        <w:t xml:space="preserve">tickets</w:t>
      </w:r>
      <w:r>
        <w:rPr>
          <w:b w:val="0"/>
          <w:i w:val="0"/>
          <w:bCs w:val="0"/>
          <w:iCs w:val="0"/>
          <w:rtl w:val="0"/>
        </w:rPr>
        <w:t xml:space="preserve">. O autor escreverá uma especificação única, congelada por SHA-256, com a pilha (TypeScript, TanStack Start, tRPC, Drizzle ORM, PostgreSQL, Vitest) e nove unidades em ordem de dependência. O executor chama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uma vez por unidade, com o mesmo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nos dois braços, e cada unidade parte do que o agente construiu na anterior. O autor não escreve código no espaço de trabalho.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pontuação será a fração dos testes de aceitação aprovados. O autor escreverá os testes antes da execução, os manterá fora do espaço de trabalho e os rodará sobre uma cópia dele ao fim de cada unidade. Os testes escritos pelo agente não contam, e uma unidade conta como concluída quando todos os seus testes passam.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Serão dois níveis de modelo, primário e de robustez, ambos gratuitos no mesmo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(Opencode, 2026b), com resultados relatados por nível. Se a ordenação dos braços inverter de um nível para o outro, a inversão será reportada como resultado.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O </w:t>
      </w:r>
      <w:r>
        <w:rPr>
          <w:b w:val="0"/>
          <w:i/>
          <w:rtl w:val="0"/>
        </w:rPr>
        <w:t xml:space="preserve">proxy</w:t>
      </w:r>
      <w:r>
        <w:rPr>
          <w:b w:val="0"/>
          <w:i w:val="0"/>
          <w:rtl w:val="0"/>
        </w:rPr>
        <w:t xml:space="preserve"> contará os tokens sobre os bytes transmitidos, com o mesmo tokenizador para os dois braços. As contagens do </w:t>
      </w:r>
      <w:r>
        <w:rPr>
          <w:b w:val="0"/>
          <w:i/>
          <w:rtl w:val="0"/>
        </w:rPr>
        <w:t xml:space="preserve">harness</w:t>
      </w:r>
      <w:r>
        <w:rPr>
          <w:b w:val="0"/>
          <w:i w:val="0"/>
          <w:rtl w:val="0"/>
        </w:rPr>
        <w:t xml:space="preserve"> e do </w:t>
      </w:r>
      <w:r>
        <w:rPr>
          <w:b w:val="0"/>
          <w:i/>
          <w:rtl w:val="0"/>
        </w:rPr>
        <w:t xml:space="preserve">gateway</w:t>
      </w:r>
      <w:r>
        <w:rPr>
          <w:b w:val="0"/>
          <w:i w:val="0"/>
          <w:rtl w:val="0"/>
        </w:rPr>
        <w:t xml:space="preserve"> servem só para verificação cruzada.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Haverá um único limite, igual para os dois braços: tempo de relógio por unidade, de três vezes a maior mediana dos braços nas unidades-piloto. O número de passos fica livre, porque um teto de passos é decisão de projeto de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apagaria a diferença sob teste.</w:t>
      </w:r>
    </w:p>
    <w:p>
      <w:pPr>
        <w:spacing w:after="0" w:line="360" w:lineRule="auto"/>
        <w:ind w:firstLine="709"/>
        <w:jc w:val="both"/>
        <w:rPr/>
      </w:pPr>
      <w:r>
        <w:rPr>
          <w:rFonts w:ascii="Gungsuh" w:cs="Gungsuh" w:eastAsia="Gungsuh" w:hAnsi="Gungsuh"/>
          <w:b w:val="0"/>
          <w:i w:val="0"/>
          <w:bCs w:val="0"/>
          <w:iCs w:val="0"/>
          <w:rtl w:val="0"/>
        </w:rPr>
        <w:t xml:space="preserve">Cada combinação de braço e nível terá ao menos três construções completas válidas, relatadas em mediana e dispersão.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comparação usará o teste de Wilcoxon dos postos sinalizados, bilateral, α = 0,05, sobre tokens, fração de testes aprovados e Succ/Mtok, pareado por unidade porque a dificuldade da unidade é a maior fonte de variação (Miller, 2024). Para H2, os tokens de cada unidade serão divididos em carga fixa (Camada 1 vezes o número de passos) e conversa. As predições serão registradas antes da coleta.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Unidade não concluída conta como resultado, com a fração de testes aprovada, e a construção segue. Medição não confiável, como a troca do modelo servido no meio da coleta, descarta a construção inteira.</w:t>
      </w:r>
    </w:p>
    <w:p w:rsidR="00000000" w:rsidDel="00000000" w:rsidP="00000000" w:rsidRDefault="00000000" w:rsidRPr="00000000" w14:paraId="00000056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Limitações e ameaças à validade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projeto tem quatro limitações. 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depende do modelo, então as conclusões valem por nível. O produto é um único SaaS em uma única pilha. Cada braço carrega os próprios erros de uma unidade à seguinte, então as unidades não são independentes, embora o teste de Wilcoxon suponha que sejam; o valor-p será lido como indicativo, ao lado da diferença e da dispersão. Por fim, o nível gratuito do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pode trocar o modelo ou cortar a cota durante a coleta.</w:t>
      </w:r>
    </w:p>
    <w:p w:rsidR="00000000" w:rsidDel="00000000" w:rsidP="00000000" w:rsidRDefault="00000000" w:rsidRPr="00000000" w14:paraId="00000058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1 – Orçamento do projeto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520"/>
        <w:gridCol w:w="2551"/>
        <w:tblGridChange w:id="0">
          <w:tblGrid>
            <w:gridCol w:w="652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sz w:val="22"/>
                <w:szCs w:val="22"/>
                <w:rtl w:val="0"/>
              </w:rPr>
              <w:t xml:space="preserve">Inferência dos modelos (dois níveis, nível gratuito do </w:t>
            </w:r>
            <w:r>
              <w:rPr>
                <w:b w:val="0"/>
                <w:i/>
                <w:sz w:val="22"/>
                <w:szCs w:val="22"/>
                <w:rtl w:val="0"/>
              </w:rPr>
              <w:t xml:space="preserve">gateway</w:t>
            </w:r>
            <w:r>
              <w:rPr>
                <w:b w:val="0"/>
                <w:i w:val="0"/>
                <w:sz w:val="22"/>
                <w:szCs w:val="22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/>
                <w:bCs w:val="0"/>
                <w:iCs w:val="1"/>
                <w:sz w:val="22"/>
                <w:szCs w:val="22"/>
                <w:rtl w:val="0"/>
              </w:rPr>
              <w:t xml:space="preserve">Harnesses</w:t>
            </w:r>
            <w:r>
              <w:rPr>
                <w:b w:val="0"/>
                <w:i w:val="0"/>
                <w:bCs w:val="0"/>
                <w:iCs w:val="1"/>
                <w:sz w:val="22"/>
                <w:szCs w:val="22"/>
                <w:rtl w:val="0"/>
              </w:rPr>
              <w:t xml:space="preserve"> e ferramentas de código aberto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Máquinas (estação pessoal NixOS e estação pessoal Windows)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 (já disponíveis)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 CRONOGRAMA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2 – Cronograma de execução</w:t>
      </w:r>
      <w:r w:rsidDel="00000000" w:rsidR="00000000" w:rsidRPr="00000000">
        <w:rPr>
          <w:rtl w:val="0"/>
        </w:rPr>
      </w:r>
    </w:p>
    <w:tbl>
      <w:tblPr>
        <w:tblStyle w:val="Table2"/>
        <w:tblW w:w="1002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09"/>
        <w:gridCol w:w="1428"/>
        <w:gridCol w:w="1428"/>
        <w:gridCol w:w="1428"/>
        <w:gridCol w:w="1428"/>
        <w:tblGridChange w:id="0">
          <w:tblGrid>
            <w:gridCol w:w="4309"/>
            <w:gridCol w:w="1428"/>
            <w:gridCol w:w="1428"/>
            <w:gridCol w:w="1428"/>
            <w:gridCol w:w="14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AGOSTO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SETEMBRO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OUTUBRO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NOVEMBRO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LEITURA E LEVANTAMENTO BIBLIOGRÁFICO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sz w:val="18"/>
                <w:szCs w:val="18"/>
                <w:rtl w:val="0"/>
              </w:rPr>
              <w:t xml:space="preserve">DEFINIÇÃO DO TEMA E DAS HIPÓTESES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bCs w:val="0"/>
                <w:iCs w:val="0"/>
                <w:sz w:val="18"/>
                <w:szCs w:val="18"/>
                <w:rtl w:val="0"/>
              </w:rPr>
              <w:t xml:space="preserve">CONSTRUÇÃO DO PROXY E DOS TESTES</w:t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INTRODUÇÃO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REFERENCIAL TEÓRICO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MATERIAL E MÉTODO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EXECUÇÃO DA MATRIZ DE EXPERIMENTOS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ANÁLISE DOS RESULTADOS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ELABORANDO AS 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sz w:val="18"/>
                <w:szCs w:val="18"/>
                <w:rtl w:val="0"/>
              </w:rPr>
              <w:t xml:space="preserve">REVISÃO FINAL E APRESENTAÇÃO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 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BRASIL. Conselho Nacional de Desenvolvimento Científico e Tecnológico.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Portaria CNPq nº 2.664, de 6 de março de 2026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Institui a Política de Integridade na Atividade Científica do CNPq. Diário Oficial da União: seção 1, Brasília, DF, p. 4, 11 mar. 2026. Disponível em: http://memoria2.cnpq.br/web/guest/view/-/journal_content/56_INSTANCE_0oED/10157/23142775. Acesso em: 11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EARENDIL. </w:t>
      </w:r>
      <w:r w:rsidDel="00000000" w:rsidR="00000000" w:rsidRPr="00000000">
        <w:rPr>
          <w:b w:val="1"/>
          <w:bCs w:val="1"/>
          <w:rtl w:val="0"/>
        </w:rPr>
        <w:t xml:space="preserve">Pi, minimal and performant</w:t>
      </w:r>
      <w:r w:rsidDel="00000000" w:rsidR="00000000" w:rsidRPr="00000000">
        <w:rPr>
          <w:rtl w:val="0"/>
        </w:rPr>
        <w:t xml:space="preserve">. 2026. Publicação de blogue institucional. Disponível em: https://earendil.com/posts/pi-autoresearch-and-databricks/. Acesso em: 28 ago.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KARPATHY, Andrej. </w:t>
      </w:r>
      <w:r>
        <w:rPr>
          <w:b/>
          <w:i w:val="0"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: a pattern for building personal knowledge bases using LLMs. 2026. Gist (GitHub). Disponível em: https://gist.github.com/karpathy/442a6bf555914893e9891c11519de94f. Acesso em: 14 set. 2026.</w:t>
      </w:r>
    </w:p>
    <w:p>
      <w:pPr>
        <w:spacing w:after="240" w:line="240" w:lineRule="auto"/>
        <w:rPr/>
      </w:pPr>
      <w:r>
        <w:rPr>
          <w:b w:val="0"/>
          <w:i w:val="0"/>
          <w:rtl w:val="0"/>
        </w:rPr>
        <w:t xml:space="preserve">LIN, Jiahang </w:t>
      </w:r>
      <w:r>
        <w:rPr>
          <w:b w:val="0"/>
          <w:i/>
          <w:rtl w:val="0"/>
        </w:rPr>
        <w:t xml:space="preserve">et al.</w:t>
      </w:r>
      <w:r>
        <w:rPr>
          <w:b w:val="0"/>
          <w:i w:val="0"/>
          <w:rtl w:val="0"/>
        </w:rPr>
        <w:t xml:space="preserve"> </w:t>
      </w:r>
      <w:r>
        <w:rPr>
          <w:b/>
          <w:i w:val="0"/>
          <w:rtl w:val="0"/>
        </w:rPr>
        <w:t xml:space="preserve">Agentic harness engineering</w:t>
      </w:r>
      <w:r>
        <w:rPr>
          <w:b w:val="0"/>
          <w:i w:val="0"/>
          <w:rtl w:val="0"/>
        </w:rPr>
        <w:t xml:space="preserve">: observability-driven automatic evolution of coding-agent harnesses. arXiv:2604.25850, 2026. </w:t>
      </w:r>
      <w:r>
        <w:rPr>
          <w:b w:val="0"/>
          <w:i/>
          <w:rtl w:val="0"/>
        </w:rPr>
        <w:t xml:space="preserve">Preprint</w:t>
      </w:r>
      <w:r>
        <w:rPr>
          <w:b w:val="0"/>
          <w:i w:val="0"/>
          <w:rtl w:val="0"/>
        </w:rPr>
        <w:t xml:space="preserve">, não revisado por pares. Disponível em: https://arxiv.org/abs/2604.25850. Acesso em: 28 ago. 2026.</w:t>
      </w:r>
    </w:p>
    <w:p>
      <w:pPr>
        <w:spacing w:after="240" w:line="240" w:lineRule="auto"/>
        <w:rPr/>
      </w:pPr>
      <w:r>
        <w:rPr>
          <w:b w:val="0"/>
          <w:i w:val="0"/>
          <w:rtl w:val="0"/>
        </w:rPr>
        <w:t xml:space="preserve">LIU, Haozhe </w:t>
      </w:r>
      <w:r>
        <w:rPr>
          <w:b w:val="0"/>
          <w:i/>
          <w:rtl w:val="0"/>
        </w:rPr>
        <w:t xml:space="preserve">et al.</w:t>
      </w:r>
      <w:r>
        <w:rPr>
          <w:b w:val="0"/>
          <w:i w:val="0"/>
          <w:rtl w:val="0"/>
        </w:rPr>
        <w:t xml:space="preserve"> </w:t>
      </w:r>
      <w:r>
        <w:rPr>
          <w:b/>
          <w:i w:val="0"/>
          <w:rtl w:val="0"/>
        </w:rPr>
        <w:t xml:space="preserve">SoL-Pi</w:t>
      </w:r>
      <w:r>
        <w:rPr>
          <w:b w:val="0"/>
          <w:i w:val="0"/>
          <w:rtl w:val="0"/>
        </w:rPr>
        <w:t xml:space="preserve">: recursively scaling auto-research loops for efficient agent harness. arXiv:2609.20519, 2026. </w:t>
      </w:r>
      <w:r>
        <w:rPr>
          <w:b w:val="0"/>
          <w:i/>
          <w:rtl w:val="0"/>
        </w:rPr>
        <w:t xml:space="preserve">Preprint</w:t>
      </w:r>
      <w:r>
        <w:rPr>
          <w:b w:val="0"/>
          <w:i w:val="0"/>
          <w:rtl w:val="0"/>
        </w:rPr>
        <w:t xml:space="preserve">, não revisado por pares. Disponível em: https://arxiv.org/abs/2609.20519. Acesso em: 23 set. 2026.</w:t>
      </w:r>
    </w:p>
    <w:p w:rsidR="00000000" w:rsidDel="00000000" w:rsidP="00000000" w:rsidRDefault="00000000" w:rsidRPr="00000000" w14:paraId="000000C1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MILLER, Evan.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Adding error bars to evals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statistical approach to language model evaluations. arXiv:2411.00640, 2024.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https://arxiv.org/abs/2411.00640.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NING, Xuying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 as agent harness</w:t>
      </w:r>
      <w:r w:rsidDel="00000000" w:rsidR="00000000" w:rsidRPr="00000000">
        <w:rPr>
          <w:rtl w:val="0"/>
        </w:rPr>
        <w:t xml:space="preserve">. arXiv:2605.18747,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https://arxiv.org/abs/2605.18747. Acesso em: 28 ago.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OPENCODE. </w:t>
      </w:r>
      <w:r>
        <w:rPr>
          <w:b/>
          <w:i w:val="0"/>
          <w:bCs w:val="0"/>
          <w:iCs w:val="0"/>
          <w:rtl w:val="0"/>
        </w:rPr>
        <w:t xml:space="preserve">OpenCode</w:t>
      </w:r>
      <w:r>
        <w:rPr>
          <w:b w:val="0"/>
          <w:i w:val="0"/>
          <w:bCs w:val="0"/>
          <w:iCs w:val="0"/>
          <w:rtl w:val="0"/>
        </w:rPr>
        <w:t xml:space="preserve">: the open source coding agent. 2026a. Repositório de código. Disponível em: https://github.com/anomalyco/opencode. Acesso em: 14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OPENCODE. </w:t>
      </w:r>
      <w:r>
        <w:rPr>
          <w:b/>
          <w:i w:val="0"/>
          <w:bCs w:val="0"/>
          <w:iCs w:val="0"/>
          <w:rtl w:val="0"/>
        </w:rPr>
        <w:t xml:space="preserve">Zen</w:t>
      </w:r>
      <w:r>
        <w:rPr>
          <w:b w:val="0"/>
          <w:i w:val="0"/>
          <w:bCs w:val="0"/>
          <w:iCs w:val="0"/>
          <w:rtl w:val="0"/>
        </w:rPr>
        <w:t xml:space="preserve">. 2026b. Documentação do produto. Disponível em: https://opencode.ai/docs/zen/. Acesso em: 28 ago.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PAN, Melissa Z.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</w:t>
      </w:r>
      <w:r>
        <w:rPr>
          <w:b/>
          <w:i w:val="0"/>
          <w:bCs w:val="0"/>
          <w:iCs w:val="0"/>
          <w:rtl w:val="0"/>
        </w:rPr>
        <w:t xml:space="preserve">HarnessTax</w:t>
      </w:r>
      <w:r>
        <w:rPr>
          <w:b w:val="0"/>
          <w:i w:val="0"/>
          <w:bCs w:val="0"/>
          <w:iCs w:val="0"/>
          <w:rtl w:val="0"/>
        </w:rPr>
        <w:t xml:space="preserve">: how much does the harness matter for coding agents? 2026. Publicação de blogue de pesquisa, não revisada por pares. Disponível em: https://harnesstax.github.io/. Acesso em: 23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YUUKIFST. </w:t>
      </w:r>
      <w:r>
        <w:rPr>
          <w:b/>
          <w:i w:val="0"/>
          <w:bCs w:val="0"/>
          <w:iCs w:val="0"/>
          <w:rtl w:val="0"/>
        </w:rPr>
        <w:t xml:space="preserve">agent-dotfiles</w:t>
      </w:r>
      <w:r>
        <w:rPr>
          <w:b w:val="0"/>
          <w:i w:val="0"/>
          <w:bCs w:val="0"/>
          <w:iCs w:val="0"/>
          <w:rtl w:val="0"/>
        </w:rPr>
        <w:t xml:space="preserve">: skill Helmsman, mapa de decisões para agentes de codificação. 2026a. Repositório de código. Disponível em: https://github.com/YuukiFST/agent-dotfiles/tree/main/skills/helmsman. Acesso em: 15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YUUKIFST. </w:t>
      </w:r>
      <w:r>
        <w:rPr>
          <w:b/>
          <w:i w:val="0"/>
          <w:bCs w:val="0"/>
          <w:iCs w:val="0"/>
          <w:rtl w:val="0"/>
        </w:rPr>
        <w:t xml:space="preserve">Finn</w:t>
      </w:r>
      <w:r>
        <w:rPr>
          <w:b w:val="0"/>
          <w:i w:val="0"/>
          <w:bCs w:val="0"/>
          <w:iCs w:val="0"/>
          <w:rtl w:val="0"/>
        </w:rPr>
        <w:t xml:space="preserve">: SaaS universal de financeiro por voz. 2026b. Repositório de código. Disponível em: https://github.com/YuukiFST/Finn. Acesso em: 14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YUUKIFST. </w:t>
      </w:r>
      <w:r>
        <w:rPr>
          <w:b/>
          <w:i w:val="0"/>
          <w:bCs w:val="0"/>
          <w:iCs w:val="0"/>
          <w:rtl w:val="0"/>
        </w:rPr>
        <w:t xml:space="preserve">harness-bench</w:t>
      </w:r>
      <w:r>
        <w:rPr>
          <w:b w:val="0"/>
          <w:i w:val="0"/>
          <w:bCs w:val="0"/>
          <w:iCs w:val="0"/>
          <w:rtl w:val="0"/>
        </w:rPr>
        <w:t xml:space="preserve">: executor, prompts, testes de aceitação, dados brutos e scripts de análise deste projeto. 2026c. Repositório de código. Disponível em: https://github.com/YuukiFST/harness-bench. Acesso em: 28 ago. 2026.</w:t>
      </w:r>
    </w:p>
    <w:p>
      <w:pPr>
        <w:spacing w:after="240" w:line="240" w:lineRule="auto"/>
        <w:rPr/>
      </w:pPr>
      <w:r>
        <w:rPr>
          <w:b w:val="0"/>
          <w:i w:val="0"/>
          <w:rtl w:val="0"/>
        </w:rPr>
        <w:t xml:space="preserve">ZHANG, Yunbei </w:t>
      </w:r>
      <w:r>
        <w:rPr>
          <w:b w:val="0"/>
          <w:i/>
          <w:rtl w:val="0"/>
        </w:rPr>
        <w:t xml:space="preserve">et al.</w:t>
      </w:r>
      <w:r>
        <w:rPr>
          <w:b w:val="0"/>
          <w:i w:val="0"/>
          <w:rtl w:val="0"/>
        </w:rPr>
        <w:t xml:space="preserve"> </w:t>
      </w:r>
      <w:r>
        <w:rPr>
          <w:b/>
          <w:i w:val="0"/>
          <w:rtl w:val="0"/>
        </w:rPr>
        <w:t xml:space="preserve">Stop comparing LLM agents without disclosing the harness</w:t>
      </w:r>
      <w:r>
        <w:rPr>
          <w:b w:val="0"/>
          <w:i w:val="0"/>
          <w:rtl w:val="0"/>
        </w:rPr>
        <w:t xml:space="preserve">. arXiv:2605.23950, 2026. </w:t>
      </w:r>
      <w:r>
        <w:rPr>
          <w:b w:val="0"/>
          <w:i/>
          <w:rtl w:val="0"/>
        </w:rPr>
        <w:t xml:space="preserve">Preprint</w:t>
      </w:r>
      <w:r>
        <w:rPr>
          <w:b w:val="0"/>
          <w:i w:val="0"/>
          <w:rtl w:val="0"/>
        </w:rPr>
        <w:t xml:space="preserve">, não revisado por pares. Disponível em: https://arxiv.org/abs/2605.23950. Acesso em: 28 ago. 2026.</w:t>
      </w:r>
    </w:p>
    <w:sectPr>
      <w:headerReference r:id="rId6" w:type="default"/>
      <w:type w:val="nextPage"/>
      <w:pgSz w:h="16838" w:w="11906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ungsuh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