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jc w:val="center"/>
        <w:rPr/>
      </w:pPr>
      <w:r>
        <w:rPr>
          <w:b w:val="1"/>
          <w:bCs w:val="1"/>
          <w:i w:val="0"/>
          <w:iCs w:val="0"/>
          <w:sz w:val="32"/>
          <w:szCs w:val="32"/>
          <w:rtl w:val="0"/>
        </w:rPr>
        <w:t xml:space="preserve">O </w:t>
      </w:r>
      <w:r>
        <w:rPr>
          <w:b w:val="1"/>
          <w:bCs w:val="1"/>
          <w:i w:val="1"/>
          <w:iCs w:val="1"/>
          <w:sz w:val="32"/>
          <w:szCs w:val="32"/>
          <w:rtl w:val="0"/>
        </w:rPr>
        <w:t xml:space="preserve">HARNESS</w:t>
      </w:r>
      <w:r>
        <w:rPr>
          <w:b w:val="1"/>
          <w:bCs w:val="1"/>
          <w:i w:val="0"/>
          <w:iCs w:val="0"/>
          <w:sz w:val="32"/>
          <w:szCs w:val="32"/>
          <w:rtl w:val="0"/>
        </w:rPr>
        <w:t xml:space="preserve"> NO CUSTO E NO DESEMPENHO DE AGENTES DE CODIFICAÇÃO: TOKENS E TAXA DE SUCESSO COM O MODELO FIXO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>
      <w:pPr>
        <w:spacing w:after="0" w:line="240" w:lineRule="auto"/>
        <w:jc w:val="center"/>
        <w:rPr/>
      </w:pPr>
      <w:r>
        <w:rPr>
          <w:b w:val="0"/>
          <w:i w:val="0"/>
          <w:rtl w:val="0"/>
        </w:rPr>
        <w:t xml:space="preserve">Cuiabá – MT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center"/>
        <w:rPr>
          <w:sz w:val="28"/>
          <w:szCs w:val="28"/>
        </w:rPr>
      </w:pPr>
      <w:r>
        <w:rPr>
          <w:b w:val="1"/>
          <w:bCs w:val="1"/>
          <w:i w:val="0"/>
          <w:iCs w:val="0"/>
          <w:sz w:val="32"/>
          <w:szCs w:val="32"/>
          <w:rtl w:val="0"/>
        </w:rPr>
        <w:t xml:space="preserve">O </w:t>
      </w:r>
      <w:r>
        <w:rPr>
          <w:b w:val="1"/>
          <w:bCs w:val="1"/>
          <w:i w:val="1"/>
          <w:iCs w:val="1"/>
          <w:sz w:val="32"/>
          <w:szCs w:val="32"/>
          <w:rtl w:val="0"/>
        </w:rPr>
        <w:t xml:space="preserve">HARNESS</w:t>
      </w:r>
      <w:r>
        <w:rPr>
          <w:b w:val="1"/>
          <w:bCs w:val="1"/>
          <w:i w:val="0"/>
          <w:iCs w:val="0"/>
          <w:sz w:val="32"/>
          <w:szCs w:val="32"/>
          <w:rtl w:val="0"/>
        </w:rPr>
        <w:t xml:space="preserve"> NO CUSTO E NO DESEMPENHO DE AGENTES DE CODIFICAÇÃO: TOKENS E TAXA DE SUCESSO COM O MODELO FIXO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>
      <w:pPr>
        <w:spacing w:after="0" w:line="240" w:lineRule="auto"/>
        <w:jc w:val="center"/>
        <w:rPr/>
      </w:pPr>
      <w:r>
        <w:rPr>
          <w:b w:val="0"/>
          <w:i w:val="0"/>
          <w:rtl w:val="0"/>
        </w:rPr>
        <w:t xml:space="preserve">Cuiabá – MT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5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5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5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Um </w:t>
      </w:r>
      <w:r>
        <w:rPr>
          <w:b w:val="0"/>
          <w:i/>
          <w:bCs w:val="0"/>
          <w:iCs w:val="0"/>
          <w:rtl w:val="0"/>
        </w:rPr>
        <w:t xml:space="preserve">coding agent</w:t>
      </w:r>
      <w:r>
        <w:rPr>
          <w:b w:val="0"/>
          <w:i w:val="0"/>
          <w:bCs w:val="0"/>
          <w:iCs w:val="0"/>
          <w:rtl w:val="0"/>
        </w:rPr>
        <w:t xml:space="preserve"> tem duas partes: o modelo de linguagem 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o software ao redor dele que monta o contexto, expõe as ferramentas e conduz a execução.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da Universidade da Califórnia em Berkeley, avaliaram sete modelos em três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 concluíram que a escolha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influencia notavelmente o custo. No SWE-bench Lite, o Claude Fable 5 resolve 97,8% das tentativas no Claude Code e 96,7% no Pi, e o Claude Code custa cerca do dobro por tentativa (US$ 1,33 contra US$ 0,67).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Quem paga por tokens paga também essa diferença, que os autores chamam de imposto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 Essas medições usam tarefas isoladas de </w:t>
      </w:r>
      <w:r>
        <w:rPr>
          <w:b w:val="0"/>
          <w:i/>
          <w:bCs w:val="0"/>
          <w:iCs w:val="0"/>
          <w:rtl w:val="0"/>
        </w:rPr>
        <w:t xml:space="preserve">benchmarks</w:t>
      </w:r>
      <w:r>
        <w:rPr>
          <w:b w:val="0"/>
          <w:i w:val="0"/>
          <w:bCs w:val="0"/>
          <w:iCs w:val="0"/>
          <w:rtl w:val="0"/>
        </w:rPr>
        <w:t xml:space="preserve"> que os modelos podem ter visto no treino, e os próprios autores apontam como próximo passo medir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fluxos reais de desenvolvimento, com tarefas de várias sessões. Este projeto constrói o mesmo produto, o Finn, com o OpenCode e com o Pi, sobre o mesmo modelo e a mesma especificação, e conta os tokens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efeito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sobre o custo e o desempenho de um modelo de linguagem fixo na construção de um produto de software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Com o modelo fixo, quanto a escolha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influencia o custo e a taxa de sucesso na construção do mesmo software?</w:t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Medir, com o modelo fixo,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na construção do mesmo produto a partir da mesma especificação, com o OpenCode e o Pi como braços, e separar a parcela que vem da carga fixa por requisição.</w:t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1) construir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que conta requisições, tokens e latência por braço;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2) construir o Finn de referência e extrair dele a especificação e os testes;</w:t>
      </w:r>
    </w:p>
    <w:p w:rsidR="00000000" w:rsidDel="00000000" w:rsidP="00000000" w:rsidRDefault="00000000" w:rsidRPr="00000000" w14:paraId="00000037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3) construir o Finn nos dois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com o mesmo modelo,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espaço inicial;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4) repetir em um segundo modelo e verificar se a ordenação dos braços se mantém;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5) comparar os tokens relatados por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com os medidos no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6) publicar executor,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testes, dados e scripts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Pesquisa aplicada, quali-quantitativa, exploratória e experimental, de método dedutivo.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reverso entre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o modelo contará requisições, tokens e latência da mesma forma para os dois braços. Cada braço construirá o Finn do zero ao menos três vezes, a partir da especificação extraída do Finn de referência do autor, e a diferença entre os braços será comparada unidade a unidade.</w:t>
      </w:r>
    </w:p>
    <w:p w:rsidR="00000000" w:rsidDel="00000000" w:rsidP="00000000" w:rsidRDefault="00000000" w:rsidRPr="00000000" w14:paraId="0000003D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H1: com o modelo fixo,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muda mais o custo do que o sucesso. Os tokens por unidade diferem entre o OpenCode e o Pi, e a fração de testes aprovados fica igual. H1 será refutada se o teste pareado não apontar diferença de tokens ou se as medianas da fração final de testes aprovados diferirem entre os braços.</w:t>
      </w:r>
    </w:p>
    <w:p w:rsidR="00000000" w:rsidDel="00000000" w:rsidP="00000000" w:rsidRDefault="00000000" w:rsidRPr="00000000" w14:paraId="0000003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H2: a carga fixa por requisição (</w:t>
      </w:r>
      <w:r w:rsidDel="00000000" w:rsidR="00000000" w:rsidRPr="00000000">
        <w:rPr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esquemas de ferramenta) explica a maior parte da diferença de tokens, e o número de passos explica a menor. H2 será refutada se os passos ou o conteúdo da conversa explicarem a maior parte.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Após esta introdução, a seção 2 apresenta o referencial teórico e a seção 3, o material e método. As seções 4, 5 e 6 trazem o orçamento, o cronograma e 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Segundo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p. 7, tradução nossa),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delimitam o que essa camada contém:</w:t>
      </w:r>
    </w:p>
    <w:p>
      <w:pPr>
        <w:spacing w:after="240" w:before="240" w:line="240" w:lineRule="auto"/>
        <w:ind w:left="2268" w:firstLine="0"/>
        <w:jc w:val="both"/>
        <w:rPr/>
      </w:pPr>
      <w:r>
        <w:rPr>
          <w:b w:val="0"/>
          <w:i w:val="0"/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</w:t>
      </w:r>
      <w:r>
        <w:rPr>
          <w:b w:val="0"/>
          <w:i/>
          <w:sz w:val="20"/>
          <w:szCs w:val="20"/>
          <w:rtl w:val="0"/>
        </w:rPr>
        <w:t xml:space="preserve">system prompt</w:t>
      </w:r>
      <w:r>
        <w:rPr>
          <w:b w:val="0"/>
          <w:i w:val="0"/>
          <w:sz w:val="20"/>
          <w:szCs w:val="20"/>
          <w:rtl w:val="0"/>
        </w:rPr>
        <w:t xml:space="preserve"> que molda o estilo de trabalho, as ferramentas que expõem o sistema de arquivos e o shell, e o middleware que controla contexto, execução e recuperação. Esse conjunto de componentes externos ao modelo e editáveis é chamado coletivamente de </w:t>
      </w:r>
      <w:r>
        <w:rPr>
          <w:b w:val="0"/>
          <w:i/>
          <w:sz w:val="20"/>
          <w:szCs w:val="20"/>
          <w:rtl w:val="0"/>
        </w:rPr>
        <w:t xml:space="preserve">harness</w:t>
      </w:r>
      <w:r>
        <w:rPr>
          <w:b w:val="0"/>
          <w:i w:val="0"/>
          <w:sz w:val="20"/>
          <w:szCs w:val="20"/>
          <w:rtl w:val="0"/>
        </w:rPr>
        <w:t xml:space="preserve"> do agente. (Lin </w:t>
      </w:r>
      <w:r>
        <w:rPr>
          <w:b w:val="0"/>
          <w:i/>
          <w:sz w:val="20"/>
          <w:szCs w:val="20"/>
          <w:rtl w:val="0"/>
        </w:rPr>
        <w:t xml:space="preserve">et al.</w:t>
      </w:r>
      <w:r>
        <w:rPr>
          <w:b w:val="0"/>
          <w:i w:val="0"/>
          <w:sz w:val="20"/>
          <w:szCs w:val="20"/>
          <w:rtl w:val="0"/>
        </w:rPr>
        <w:t xml:space="preserve">, 2026, p. 1, tradução nossa).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Só esse conjunto varia entre os braços deste experimento. O Pi envia quatro ferramentas e um </w:t>
      </w:r>
      <w:r>
        <w:rPr>
          <w:b w:val="0"/>
          <w:i/>
          <w:bCs w:val="0"/>
          <w:iCs w:val="0"/>
          <w:rtl w:val="0"/>
        </w:rPr>
        <w:t xml:space="preserve">system prompt</w:t>
      </w:r>
      <w:r>
        <w:rPr>
          <w:b w:val="0"/>
          <w:i w:val="0"/>
          <w:bCs w:val="0"/>
          <w:iCs w:val="0"/>
          <w:rtl w:val="0"/>
        </w:rPr>
        <w:t xml:space="preserve"> curto (Earendil, 2026), e o OpenCode envia mais ferramentas, subagentes e permissões (Opencode, 2026a).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Na Tabela 1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sobre o GPT-5.4 vão de 47,2% de aprovação no OpenCode a 71,9% no Codex, no Terminal-Bench 2. Zhang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sustentam que, em tarefas longas e entre modelos de fronteira comparáveis, a variação de desempenho devida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comparável ou maior que a devida ao modelo.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mediram outra coisa no SWE-bench Lite: o efeito médio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a taxa de sucesso ficou dentro de ±2%, enquanto o Claude Code custou, em média, cerca de 2,0 vezes o Pi. Como as fontes divergem sobre o sucesso, este projeto mede sucesso e custo juntos.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saber de onde vem a diferença de custo. Para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o imposto pode começar na primeira requisição: nos sete modelos, o contexto inicial médio do Claude Code passa de dez vezes o do Pi, e no Claude Fable 5 os turnos quase se igualam (15,3 contra 15,4). Liu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o resto da conversa. Mudando só a execução das ações, a compactação de contexto, o tratamento das observações e a leitura delegada, cortaram de 44,7% a 49,0% dos tokens em relação ao Pi e mantiveram de 93,7% a 94,3% da pontuação dele.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p. 66, tradução nossa) pedem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”, e H2 testa se pesa mais a carga fixa ou a conversa.</w:t>
      </w:r>
    </w:p>
    <w:p w:rsidR="00000000" w:rsidDel="00000000" w:rsidP="00000000" w:rsidRDefault="00000000" w:rsidRPr="00000000" w14:paraId="00000047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segunda pendência é a instrumentação.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conta turnos e tokens do seu jeito, e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registram que a definição de turno varia entre eles. Aqui a medição ocorre em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externo, igual para os dois braços, e o objetivo (5) compara essa medida com o relato de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As métricas serão tokens por construção, ao lado da fração de testes aprovados, e o Succ/Mtok (sucessos por milhão de tokens)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(2026). O efeito também depende do modelo, pois em nove de doze comparações de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o maior sucesso veio de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que não é o do fornecedor do modelo. Por isso o desenho terá dois níveis de modelo.</w:t>
      </w:r>
    </w:p>
    <w:p w:rsidR="00000000" w:rsidDel="00000000" w:rsidP="00000000" w:rsidRDefault="00000000" w:rsidRPr="00000000" w14:paraId="00000049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pesquisa é aplicada quanto à finalidade, quali-quantitativa quanto à abordagem, exploratória quanto aos objetivos, experimental quanto aos procedimentos e dedutiva quanto ao método. É exploratória porque não se encontrou comparação publicada de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construindo o mesmo produto completo.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a variável manipulada, e modelo, especificação, espaço de trabalho inicial e limites ficam controlados.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Declara-se o uso do Claude Code no levantamento das fontes, organizado pelo método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 no repositório do projeto (YuukiFST, 2026c), nas decisões do Finn, mapeadas com o Helmsman (YuukiFST, 2026a), e na sua versão de referência. O autor conferiu cada afirmação citada na obra original e responde pelo texto e pelas decisões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mede,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simulado, os esquemas de ferramenta, o </w:t>
      </w:r>
      <w:r>
        <w:rPr>
          <w:b w:val="0"/>
          <w:i/>
          <w:bCs w:val="0"/>
          <w:iCs w:val="0"/>
          <w:rtl w:val="0"/>
        </w:rPr>
        <w:t xml:space="preserve">system prompt</w:t>
      </w:r>
      <w:r>
        <w:rPr>
          <w:b w:val="0"/>
          <w:i w:val="0"/>
          <w:bCs w:val="0"/>
          <w:iCs w:val="0"/>
          <w:rtl w:val="0"/>
        </w:rPr>
        <w:t xml:space="preserve"> e os tokens de cada requisição, ou seja, a carga fixa de cada braço sem tarefa. A Camada 2 mede a construção do produto contra o modelo real.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braços serão o OpenCode (Opencode, 2026a) e o Pi (Earendil, 2026). Os dois são de código aberto, rodam sem interface e aceitam URL base compatível com a API da OpenAI, o que permite passá-los pelo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As versões serão fixadas e registradas no repositório (YuukiFST, 2026c).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2026b), decidido em 21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. O autor construirá antes uma versão de referência e marcará no git o fim de cada etapa. Dela sairá a especificação, congelada por SHA-256: produto, pilha, interface dos testes e funcionalidades em JSON, no formato de Young (2025), uma unidade por etapa, ao menos seis. O executor chama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com o mesmo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nos dois braços, e cada unidade parte do que o agente construiu na anterior. Nenhum código do autor entra no espaço de trabalho.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pontuação será a fração dos testes de aceitação aprovados. O autor escreverá os testes antes da execução, fora do espaço de trabalho, e os rodará sobre uma cópia dele ao fim de cada unidade. Todos devem passar antes na referência, no marco da etapa. Os testes escritos pelo agente não contam, e uma unidade conta como concluída quando todos os seus testes passam.</w:t>
      </w:r>
    </w:p>
    <w:p w:rsidR="00000000" w:rsidDel="00000000" w:rsidP="00000000" w:rsidRDefault="00000000" w:rsidRPr="00000000" w14:paraId="0000005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Serão dois níveis de modelo, primário e de robustez, ambos gratuitos no mesmo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gateway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(Opencode, 2026b), com resultados relatados por nível. Se a ordenação dos braços inverter de um nível para o outro, a inversão será reportada como resultado.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guardará os tokens que 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informa em cada resposta, com o cache à parte, e separará em cada requisição a carga fixa (</w:t>
      </w:r>
      <w:r>
        <w:rPr>
          <w:b w:val="0"/>
          <w:i/>
          <w:bCs w:val="0"/>
          <w:iCs w:val="0"/>
          <w:rtl w:val="0"/>
        </w:rPr>
        <w:t xml:space="preserve">system prompt</w:t>
      </w:r>
      <w:r>
        <w:rPr>
          <w:b w:val="0"/>
          <w:i w:val="0"/>
          <w:bCs w:val="0"/>
          <w:iCs w:val="0"/>
          <w:rtl w:val="0"/>
        </w:rPr>
        <w:t xml:space="preserve"> e ferramentas) do resto da conversa, para H2. A contagem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serve só para verificação cruzada.</w:t>
      </w:r>
    </w:p>
    <w:p w:rsidR="00000000" w:rsidDel="00000000" w:rsidP="00000000" w:rsidRDefault="00000000" w:rsidRPr="00000000" w14:paraId="00000052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Haverá um único limite, igual para os dois braços: tempo de relógio por unidade, de três vezes a maior mediana dos braços nas unidades-piloto. O número de passos fica livre, porque um teto de passos é decisão de projeto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apagaria a diferença sob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ind w:firstLine="709"/>
        <w:jc w:val="both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rtl w:val="0"/>
        </w:rPr>
        <w:t xml:space="preserve">Cada combinação de braço e nível terá ao menos três construções completas válidas, relatadas em mediana e dispersão.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comparação usará o teste de Wilcoxon dos postos sinalizados, bilateral, α = 0,05, sobre tokens e Succ/Mtok, pareado por unidade. O pareamento remove a dificuldade comum aos dois braços (Miller, 2024). O resultado principal será a razão entre as medianas de tokens por construção dos braços. A fração de testes aprovados será relatada sem teste, pois um empate em 100% não deixa diferença a testar. As predições serão registradas antes da coleta.</w:t>
      </w:r>
    </w:p>
    <w:p w:rsidR="00000000" w:rsidDel="00000000" w:rsidP="00000000" w:rsidRDefault="00000000" w:rsidRPr="00000000" w14:paraId="00000055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Unidade não concluída conta como resultado, com a fração de testes aprovada, e a construção segue. Medição não confiável, como a troca do modelo servido no meio da coleta, descarta a construção inteira.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projeto tem quatro limitações.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depende do modelo, então as conclusões valem por nível. O produto é um único SaaS, especificado a partir da solução do autor. Cada braço carrega os próprios erros de uma unidade à seguinte, então as unidades não são independentes, embora o teste de Wilcoxon suponha que sejam; o valor-p será lido como indicativo, ao lado da diferença e da dispersão. Por fim, o nível gratuito do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pode trocar o modelo ou cortar a cota durante a coleta.</w:t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Inferência dos modelos (dois níveis, nível gratuito do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gateway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Harnesses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 e ferramentas de código aberto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Hardware (PC pessoal, NixOS)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after="20" w:before="20" w:lineRule="auto"/>
              <w:jc w:val="center"/>
              <w:rPr/>
            </w:pPr>
            <w:r>
              <w:rPr>
                <w:b w:val="0"/>
                <w:i w:val="0"/>
                <w:sz w:val="22"/>
                <w:szCs w:val="22"/>
                <w:rtl w:val="0"/>
              </w:rPr>
              <w:t xml:space="preserve">R$ 0,00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9071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CellMar>
          <w:left w:w="57" w:type="dxa"/>
          <w:right w:w="57" w:type="dxa"/>
        </w:tblCellMar>
        <w:tblLook w:val="0400"/>
      </w:tblPr>
      <w:tblGrid>
        <w:gridCol w:w="5411"/>
        <w:gridCol w:w="1220"/>
        <w:gridCol w:w="1220"/>
        <w:gridCol w:w="1220"/>
        <w:tblGridChange w:id="0">
          <w:tblGrid>
            <w:gridCol w:w="5411"/>
            <w:gridCol w:w="1220"/>
            <w:gridCol w:w="1220"/>
            <w:gridCol w:w="1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DEFINIÇÃO DO TEMA E DAS HIPÓTESES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bCs w:val="0"/>
                <w:iCs w:val="0"/>
                <w:sz w:val="18"/>
                <w:szCs w:val="18"/>
                <w:rtl w:val="0"/>
              </w:rPr>
              <w:t xml:space="preserve">FINN DE REFERÊNCIA, PROXY E TESTES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REVISÃO FINAL E APRESENTAÇÃO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 w:rsidR="00000000" w:rsidDel="00000000" w:rsidP="00000000" w:rsidRDefault="00000000" w:rsidRPr="00000000" w14:paraId="000000B7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KARPATHY, Andrej.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LLM Wiki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pattern for building personal knowledge bases using LLMs. 2026. Gist (GitHub). Disponível em: https://gist.github.com/karpathy/442a6bf555914893e9891c11519de94f.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LIN, Jiahang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Agentic harness engineering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observability-driven automatic evolution of coding-agent harnesses. arXiv:2604.25850,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https://arxiv.org/abs/2604.25850.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LIU, Haozhe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SoL-Pi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recursively scaling auto-research loops for efficient agent harness. arXiv:2609.20519,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https://arxiv.org/abs/2609.20519. Acesso em: 23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 w:rsidR="00000000" w:rsidDel="00000000" w:rsidP="00000000" w:rsidRDefault="00000000" w:rsidRPr="00000000" w14:paraId="000000BC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OpenCode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the open source coding agent. 2026a. Repositório de código. Disponível em: https://github.com/anomalyco/opencode.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Zen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2026b. Documentação do produto. Disponível em: https://opencode.ai/docs/zen/.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PAN, Melissa Z.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HarnessTax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how much does the harness matter for coding agents? 2026. Publicação de blogue de pesquisa, não revisada por pares. Disponível em: https://harnesstax.github.io/. Acesso em: 23 set. 2026.</w:t>
      </w:r>
      <w:r w:rsidDel="00000000" w:rsidR="00000000" w:rsidRPr="00000000">
        <w:rPr>
          <w:rtl w:val="0"/>
        </w:rPr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YOUNG, Justin. </w:t>
      </w:r>
      <w:r>
        <w:rPr>
          <w:b/>
          <w:i w:val="0"/>
          <w:bCs w:val="0"/>
          <w:iCs w:val="0"/>
          <w:rtl w:val="0"/>
        </w:rPr>
        <w:t xml:space="preserve">Effective harnesses for long-running agents</w:t>
      </w:r>
      <w:r>
        <w:rPr>
          <w:b w:val="0"/>
          <w:i w:val="0"/>
          <w:bCs w:val="0"/>
          <w:iCs w:val="0"/>
          <w:rtl w:val="0"/>
        </w:rPr>
        <w:t xml:space="preserve">. 2025. Publicação de blogue de engenharia (Anthropic), não revisada por pares. Disponível em: https://www.anthropic.com/engineering/effective-harnesses-for-long-running-agents. Acesso em: 24 set. 2026.</w:t>
      </w:r>
    </w:p>
    <w:p w:rsidR="00000000" w:rsidDel="00000000" w:rsidP="00000000" w:rsidRDefault="00000000" w:rsidRPr="00000000" w14:paraId="000000BF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agent-dotfiles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skill Helmsman, mapa de decisões para agentes de codificação. 2026a. Repositório de código. Disponível em: https://github.com/YuukiFST/agent-dotfiles/tree/main/skills/helmsman. Acesso em: 15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Finn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SaaS universal de financeiro por voz. 2026b. Repositório de código. Disponível em: https://github.com/YuukiFST/Finn.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harness-bench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executor, prompts, testes de aceitação, dados brutos e scripts de análise deste projeto. 2026c. Repositório de código. Disponível em: https://github.com/YuukiFST/harness-bench.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ZHANG, Yunbei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Stop comparing LLM agents without disclosing the 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arXiv:2605.23950,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https://arxiv.org/abs/2605.23950. Acesso em: 28 ago. 2026.</w:t>
      </w:r>
      <w:r w:rsidDel="00000000" w:rsidR="00000000" w:rsidRPr="00000000">
        <w:rPr>
          <w:rtl w:val="0"/>
        </w:rPr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