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INSTITUTO FEDERAL DE EDUCAÇÃO, CIÊNCIA E TECNOLOGIA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DE MATO GROSSO - CAMPUS OCTAYDE JORGE DA SILVA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DIRETORIA DE ENSINO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DEPARTAMENTO DE ÁREA DE INFORMÁTICA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FAUSTO YUUKI T.A FREIRE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360" w:lineRule="auto"/>
        <w:jc w:val="center"/>
        <w:rPr/>
      </w:pPr>
      <w:r w:rsidDel="00000000" w:rsidR="00000000" w:rsidRPr="00000000">
        <w:rPr>
          <w:b w:val="1"/>
          <w:bCs w:val="1"/>
          <w:i w:val="0"/>
          <w:iCs w:val="0"/>
          <w:sz w:val="32"/>
          <w:szCs w:val="32"/>
          <w:rtl w:val="0"/>
        </w:rPr>
        <w:t xml:space="preserve">O </w:t>
      </w:r>
      <w:r w:rsidDel="00000000" w:rsidR="00000000" w:rsidRPr="00000000">
        <w:rPr>
          <w:b w:val="1"/>
          <w:bCs w:val="1"/>
          <w:i w:val="1"/>
          <w:iCs w:val="1"/>
          <w:sz w:val="32"/>
          <w:szCs w:val="32"/>
          <w:rtl w:val="0"/>
        </w:rPr>
        <w:t xml:space="preserve">HARNESS</w:t>
      </w:r>
      <w:r w:rsidDel="00000000" w:rsidR="00000000" w:rsidRPr="00000000">
        <w:rPr>
          <w:b w:val="1"/>
          <w:bCs w:val="1"/>
          <w:i w:val="0"/>
          <w:iCs w:val="0"/>
          <w:sz w:val="32"/>
          <w:szCs w:val="32"/>
          <w:rtl w:val="0"/>
        </w:rPr>
        <w:t xml:space="preserve"> NO CUSTO E NO DESEMPENHO DE AGENTES DE CODIFICAÇÃO: TOKENS E TAXA DE SUCESSO COM O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MESMO MODELO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jc w:val="center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Cuiabá – MT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FAUSTO YUUKI T.A FREIRE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360" w:lineRule="auto"/>
        <w:jc w:val="center"/>
        <w:rPr>
          <w:sz w:val="28"/>
          <w:szCs w:val="28"/>
        </w:rPr>
      </w:pPr>
      <w:r w:rsidDel="00000000" w:rsidR="00000000" w:rsidRPr="00000000">
        <w:rPr>
          <w:b w:val="1"/>
          <w:bCs w:val="1"/>
          <w:i w:val="0"/>
          <w:iCs w:val="0"/>
          <w:sz w:val="32"/>
          <w:szCs w:val="32"/>
          <w:rtl w:val="0"/>
        </w:rPr>
        <w:t xml:space="preserve">O </w:t>
      </w:r>
      <w:r w:rsidDel="00000000" w:rsidR="00000000" w:rsidRPr="00000000">
        <w:rPr>
          <w:b w:val="1"/>
          <w:bCs w:val="1"/>
          <w:i w:val="1"/>
          <w:iCs w:val="1"/>
          <w:sz w:val="32"/>
          <w:szCs w:val="32"/>
          <w:rtl w:val="0"/>
        </w:rPr>
        <w:t xml:space="preserve">HARNESS</w:t>
      </w:r>
      <w:r w:rsidDel="00000000" w:rsidR="00000000" w:rsidRPr="00000000">
        <w:rPr>
          <w:b w:val="1"/>
          <w:bCs w:val="1"/>
          <w:i w:val="0"/>
          <w:iCs w:val="0"/>
          <w:sz w:val="32"/>
          <w:szCs w:val="32"/>
          <w:rtl w:val="0"/>
        </w:rPr>
        <w:t xml:space="preserve"> NO CUSTO E NO DESEMPENHO DE AGENTES DE CODIFICAÇÃO: TOKENS E TAXA DE SUCESSO COM O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MESMO MODELO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ind w:left="4535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Projeto de pesquisa apresentado ao Departamento de Área de Informática do Instituto Federal de Educação, Ciência e Tecnologia de Mato Grosso, Campus Octayde Jorge da Silva, na disciplina de Metodologia Científica do curso de Sistemas para Internet.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240" w:line="240" w:lineRule="auto"/>
        <w:ind w:left="4535" w:firstLine="0"/>
        <w:jc w:val="both"/>
        <w:rPr/>
      </w:pPr>
      <w:r w:rsidDel="00000000" w:rsidR="00000000" w:rsidRPr="00000000">
        <w:rPr>
          <w:rtl w:val="0"/>
        </w:rPr>
        <w:t xml:space="preserve">Orientadora: Profa. Inara Silva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center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Cuiabá – MT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8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SUMÁRIO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1 INTRODUÇÃO</w:t>
        <w:tab/>
        <w:t xml:space="preserve">1</w:t>
      </w:r>
    </w:p>
    <w:p w:rsidR="00000000" w:rsidDel="00000000" w:rsidP="00000000" w:rsidRDefault="00000000" w:rsidRPr="00000000" w14:paraId="00000025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2 REFERENCIAL TEÓRICO</w:t>
        <w:tab/>
        <w:t xml:space="preserve">2</w:t>
      </w:r>
    </w:p>
    <w:p w:rsidR="00000000" w:rsidDel="00000000" w:rsidP="00000000" w:rsidRDefault="00000000" w:rsidRPr="00000000" w14:paraId="00000026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3 MATERIAL E MÉTODO</w:t>
        <w:tab/>
        <w:t xml:space="preserve">3</w:t>
      </w:r>
    </w:p>
    <w:p w:rsidR="00000000" w:rsidDel="00000000" w:rsidP="00000000" w:rsidRDefault="00000000" w:rsidRPr="00000000" w14:paraId="00000027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4 ORÇAMENTO</w:t>
        <w:tab/>
        <w:t xml:space="preserve">5</w:t>
      </w:r>
    </w:p>
    <w:p w:rsidR="00000000" w:rsidDel="00000000" w:rsidP="00000000" w:rsidRDefault="00000000" w:rsidRPr="00000000" w14:paraId="00000028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5 CRONOGRAMA</w:t>
        <w:tab/>
        <w:t xml:space="preserve">5</w:t>
      </w:r>
    </w:p>
    <w:p w:rsidR="00000000" w:rsidDel="00000000" w:rsidP="00000000" w:rsidRDefault="00000000" w:rsidRPr="00000000" w14:paraId="00000029">
      <w:pPr>
        <w:tabs>
          <w:tab w:val="right" w:leader="none" w:pos="9071"/>
        </w:tabs>
        <w:spacing w:after="0" w:line="360" w:lineRule="auto"/>
        <w:rPr/>
        <w:sectPr>
          <w:pgSz w:h="16838" w:w="11906" w:orient="portrait"/>
          <w:pgMar w:bottom="1134" w:top="1701" w:left="1701" w:right="1134" w:header="720" w:footer="720"/>
          <w:pgNumType w:start="1"/>
        </w:sectPr>
      </w:pPr>
      <w:r w:rsidDel="00000000" w:rsidR="00000000" w:rsidRPr="00000000">
        <w:rPr>
          <w:rtl w:val="0"/>
        </w:rPr>
        <w:t xml:space="preserve">6 REFERÊNCIAS</w:t>
        <w:tab/>
        <w:t xml:space="preserve">5</w:t>
      </w:r>
    </w:p>
    <w:p w:rsidR="00000000" w:rsidDel="00000000" w:rsidP="00000000" w:rsidRDefault="00000000" w:rsidRPr="00000000" w14:paraId="0000002A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 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Justificativa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Um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coding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agent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tem duas partes: o modelo de linguagem e 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o software ao redor dele que monta o contexto, expõe as ferramentas e conduz a execução. Pan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(2026), da Universidade da Califórnia em Berkeley, avaliaram sete modelos em três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harnesses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e concluíram que a escolha do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influencia notavelmente o custo. No SWE-bench Lite, o Fable 5 resolve 97,8% das tentativas no Claude Code e 96,7% no Pi, e o Claude Code custa </w:t>
      </w:r>
      <w:r w:rsidDel="00000000" w:rsidR="00000000" w:rsidRPr="00000000">
        <w:rPr>
          <w:rtl w:val="0"/>
        </w:rPr>
        <w:t xml:space="preserve">aproximadamente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o dobro por tentativa (US$ 1,33 contra US$ 0,67).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Quem paga por tokens paga também essa diferença. Essas medições usam tarefas isoladas de </w:t>
      </w:r>
      <w:r>
        <w:rPr>
          <w:b w:val="0"/>
          <w:i/>
          <w:bCs w:val="0"/>
          <w:iCs w:val="0"/>
          <w:rtl w:val="0"/>
        </w:rPr>
        <w:t xml:space="preserve">benchmarks</w:t>
      </w:r>
      <w:r>
        <w:rPr>
          <w:b w:val="0"/>
          <w:i w:val="0"/>
          <w:bCs w:val="0"/>
          <w:iCs w:val="0"/>
          <w:rtl w:val="0"/>
        </w:rPr>
        <w:t xml:space="preserve"> que os modelos podem ter visto no treino, e os próprios autores apontam como próximo passo medir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em fluxos reais de desenvolvimento, com tarefas de várias sessões. Este projeto constrói o mesmo produto com o OpenCode e com o Pi, sobre o mesmo modelo e a mesma especificação, e conta os tokens fora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. O produto é o Finn, um SaaS voltado para o setor financeiro das empresas.</w:t>
      </w:r>
    </w:p>
    <w:p w:rsidR="00000000" w:rsidDel="00000000" w:rsidP="00000000" w:rsidRDefault="00000000" w:rsidRPr="00000000" w14:paraId="0000002E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O efeito do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sobre o custo e o desempenho de um modelo de linguagem fixo na construção de um produto de software completo.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Problema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Com o </w:t>
      </w:r>
      <w:r w:rsidDel="00000000" w:rsidR="00000000" w:rsidRPr="00000000">
        <w:rPr>
          <w:rtl w:val="0"/>
        </w:rPr>
        <w:t xml:space="preserve">mesmo modelo,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quanto a escolha do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influencia o custo e a taxa de sucesso na construção do mesmo software?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 geral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Medir, com o </w:t>
      </w:r>
      <w:r w:rsidDel="00000000" w:rsidR="00000000" w:rsidRPr="00000000">
        <w:rPr>
          <w:rtl w:val="0"/>
        </w:rPr>
        <w:t xml:space="preserve">mesmo modelo, 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a diferença de tokens e de taxa de sucesso atribuível ao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na construção do mesmo produto a partir da mesma especificação, com o OpenCode e o Pi como </w:t>
      </w:r>
      <w:r w:rsidDel="00000000" w:rsidR="00000000" w:rsidRPr="00000000">
        <w:rPr>
          <w:i w:val="1"/>
          <w:iCs w:val="1"/>
          <w:rtl w:val="0"/>
        </w:rPr>
        <w:t xml:space="preserve">coding agents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e separar a parcela que vem da carga fixa por requisição.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Objetivos específicos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360" w:lineRule="auto"/>
        <w:ind w:left="709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1) construir 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proxy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que conta requisições, tokens e latência por </w:t>
      </w:r>
      <w:r w:rsidDel="00000000" w:rsidR="00000000" w:rsidRPr="00000000">
        <w:rPr>
          <w:i w:val="1"/>
          <w:iCs w:val="1"/>
          <w:rtl w:val="0"/>
        </w:rPr>
        <w:t xml:space="preserve">coding agent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360" w:lineRule="auto"/>
        <w:ind w:left="709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2) construir o Finn de referência e extrair dele a especificação e os testes;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="360" w:lineRule="auto"/>
        <w:ind w:left="709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3) construir o Finn nos dois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harnesses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com o mesmo modelo,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prompt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e espaço inicial;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360" w:lineRule="auto"/>
        <w:ind w:left="709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4) repetir em um segundo modelo e verificar se a ordenação dos </w:t>
      </w:r>
      <w:r w:rsidDel="00000000" w:rsidR="00000000" w:rsidRPr="00000000">
        <w:rPr>
          <w:i w:val="1"/>
          <w:iCs w:val="1"/>
          <w:rtl w:val="0"/>
        </w:rPr>
        <w:t xml:space="preserve">coding agents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se mantém;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line="360" w:lineRule="auto"/>
        <w:ind w:left="709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5) comparar os tokens relatados por cada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com os medidos no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proxy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="360" w:lineRule="auto"/>
        <w:ind w:left="709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6) publicar executor,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prompts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testes, dados e scripts de análise.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Metodologia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Pesquisa aplicada, quali-quantitativa, exploratória e experimental, de método dedutivo. Um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proxy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reverso entre cada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e o modelo contará requisições, tokens e latência da mesma forma para os dois </w:t>
      </w:r>
      <w:r w:rsidDel="00000000" w:rsidR="00000000" w:rsidRPr="00000000">
        <w:rPr>
          <w:i w:val="1"/>
          <w:iCs w:val="1"/>
          <w:rtl w:val="0"/>
        </w:rPr>
        <w:t xml:space="preserve">coding </w:t>
      </w:r>
      <w:r w:rsidDel="00000000" w:rsidR="00000000" w:rsidRPr="00000000">
        <w:rPr>
          <w:i w:val="1"/>
          <w:iCs w:val="1"/>
          <w:rtl w:val="0"/>
        </w:rPr>
        <w:t xml:space="preserve">agents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Cada </w:t>
      </w:r>
      <w:r w:rsidDel="00000000" w:rsidR="00000000" w:rsidRPr="00000000">
        <w:rPr>
          <w:i w:val="1"/>
          <w:iCs w:val="1"/>
          <w:rtl w:val="0"/>
        </w:rPr>
        <w:t xml:space="preserve">coding </w:t>
      </w:r>
      <w:r w:rsidDel="00000000" w:rsidR="00000000" w:rsidRPr="00000000">
        <w:rPr>
          <w:i w:val="1"/>
          <w:iCs w:val="1"/>
          <w:rtl w:val="0"/>
        </w:rPr>
        <w:t xml:space="preserve">agent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construirá o Finn do zero ao menos três vezes, a partir da especificação extraída do Finn de referência do autor, e a diferença entre os </w:t>
      </w:r>
      <w:r w:rsidDel="00000000" w:rsidR="00000000" w:rsidRPr="00000000">
        <w:rPr>
          <w:i w:val="1"/>
          <w:iCs w:val="1"/>
          <w:rtl w:val="0"/>
        </w:rPr>
        <w:t xml:space="preserve">coding agents 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será comparada unidade a unidade.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Hipótese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H1: com o modelo fixo, 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muda mais o custo do que o sucesso. Os tokens por unidade diferem entre o OpenCode e o Pi, e a fração de testes aprovados fica igual. H1 será refutada se o teste pareado não apontar diferença de tokens ou se as medianas da fração final de testes aprovados diferirem entre os </w:t>
      </w:r>
      <w:r w:rsidDel="00000000" w:rsidR="00000000" w:rsidRPr="00000000">
        <w:rPr>
          <w:i w:val="1"/>
          <w:iCs w:val="1"/>
          <w:rtl w:val="0"/>
        </w:rPr>
        <w:t xml:space="preserve">coding agents.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H2: a carga fixa por requisição (</w:t>
      </w:r>
      <w:r w:rsidDel="00000000" w:rsidR="00000000" w:rsidRPr="00000000">
        <w:rPr>
          <w:i w:val="1"/>
          <w:iCs w:val="1"/>
          <w:rtl w:val="0"/>
        </w:rPr>
        <w:t xml:space="preserve">system prompt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e esquemas de ferramenta) explica a maior parte da diferença de tokens, e o número de passos explica a menor. H2 será refutada se os passos ou o conteúdo da conversa explicarem a maior parte.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Após esta introdução, a seção 2 apresenta o referencial teórico e a seção 3, o material e método. As seções 4, 5 e 6 trazem o orçamento, o cronograma e as referências.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 REFERENCIAL TEÓRICO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Segundo Ning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(2026, p. 7, tradução nossa), um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“converte um modelo de linguagem sem estado em um agente funcional ao ancorar suas saídas em execução externa, estado persistente e realimentação verificável”. Lin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delimitam essa camada:</w:t>
      </w:r>
    </w:p>
    <w:p w:rsidR="00000000" w:rsidDel="00000000" w:rsidP="00000000" w:rsidRDefault="00000000" w:rsidRPr="00000000" w14:paraId="00000043">
      <w:pPr>
        <w:spacing w:after="240" w:before="240" w:line="240" w:lineRule="auto"/>
        <w:ind w:left="2268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sz w:val="20"/>
          <w:szCs w:val="20"/>
          <w:rtl w:val="0"/>
        </w:rPr>
        <w:t xml:space="preserve">Na prática, esse progresso depende não apenas do modelo de linguagem subjacente, mas igualmente dos componentes de engenharia que o cercam: o </w:t>
      </w:r>
      <w:r w:rsidDel="00000000" w:rsidR="00000000" w:rsidRPr="00000000">
        <w:rPr>
          <w:b w:val="0"/>
          <w:bCs w:val="0"/>
          <w:i w:val="1"/>
          <w:iCs w:val="1"/>
          <w:sz w:val="20"/>
          <w:szCs w:val="20"/>
          <w:rtl w:val="0"/>
        </w:rPr>
        <w:t xml:space="preserve">system prompt</w:t>
      </w:r>
      <w:r w:rsidDel="00000000" w:rsidR="00000000" w:rsidRPr="00000000">
        <w:rPr>
          <w:b w:val="0"/>
          <w:bCs w:val="0"/>
          <w:i w:val="0"/>
          <w:iCs w:val="0"/>
          <w:sz w:val="20"/>
          <w:szCs w:val="20"/>
          <w:rtl w:val="0"/>
        </w:rPr>
        <w:t xml:space="preserve"> que molda o estilo de trabalho, as ferramentas que expõem o sistema de arquivos e o shell, e o middleware que controla contexto, execução e recuperação. Esse conjunto de componentes externos ao modelo e editáveis é chamado coletivamente de </w:t>
      </w:r>
      <w:r w:rsidDel="00000000" w:rsidR="00000000" w:rsidRPr="00000000">
        <w:rPr>
          <w:b w:val="0"/>
          <w:bCs w:val="0"/>
          <w:i w:val="1"/>
          <w:iCs w:val="1"/>
          <w:sz w:val="20"/>
          <w:szCs w:val="20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sz w:val="20"/>
          <w:szCs w:val="20"/>
          <w:rtl w:val="0"/>
        </w:rPr>
        <w:t xml:space="preserve"> do agente. (Lin </w:t>
      </w:r>
      <w:r w:rsidDel="00000000" w:rsidR="00000000" w:rsidRPr="00000000">
        <w:rPr>
          <w:b w:val="0"/>
          <w:bCs w:val="0"/>
          <w:i w:val="1"/>
          <w:iCs w:val="1"/>
          <w:sz w:val="20"/>
          <w:szCs w:val="20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sz w:val="20"/>
          <w:szCs w:val="20"/>
          <w:rtl w:val="0"/>
        </w:rPr>
        <w:t xml:space="preserve">, 2026, p. 1, tradução nossa).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Só esse conjunto varia entre os </w:t>
      </w:r>
      <w:r w:rsidDel="00000000" w:rsidR="00000000" w:rsidRPr="00000000">
        <w:rPr>
          <w:i w:val="1"/>
          <w:iCs w:val="1"/>
          <w:rtl w:val="0"/>
        </w:rPr>
        <w:t xml:space="preserve">coding agents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deste experimento. O Pi envia quatro ferramentas e um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system prompt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curto (Earendil, 2026), e o OpenCode envia mais ferramentas, subagentes e permissões (Opencode, 2026a).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Na Tabela 1 de Lin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(2026),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 escritos por humanos vão de 47,2% de aprovação no OpenCode a 71,9% no Codex, no Terminal-Bench 2. Zhang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sustentam que, em tarefas longas e entre modelos de fronteira comparáveis, a variação de desempenho devida ao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é frequentemente comparável ou maior que a devida ao modelo. Pan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mediram outra coisa no SWE-bench Lite: o efeito médio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sobre a taxa de sucesso ficou dentro de ±2%, enquanto o Claude Code custou, em média, cerca de 2,0 vezes o Pi. Como as fontes divergem sobre o sucesso, este projeto mede sucesso e custo juntos.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primeira pendência é saber de onde vem a diferença de custo. Para Pan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(2026), o imposto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pode começar na primeira requisição: nos sete modelos, o contexto inicial médio do Claude Code passa de dez vezes o do Pi, e no Claude Fable 5 os turnos quase se igualam (15,3 contra 15,4). Liu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apontam o resto da conversa. Mudando só a execução das ações, a compactação de contexto, o tratamento das observações e a leitura delegada, cortaram de 44,7% a 49,0% dos tokens em relação ao Pi e mantiveram de 93,7% a 94,3% da pontuação dele. Ning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(2026, p. 66, tradução nossa) pedem “métricas que isolem componentes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”, e H2 testa se pesa mais a carga fixa ou a conversa.</w:t>
      </w:r>
    </w:p>
    <w:p w:rsidR="00000000" w:rsidDel="00000000" w:rsidP="00000000" w:rsidRDefault="00000000" w:rsidRPr="00000000" w14:paraId="00000047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A segunda pendência é a instrumentação. Cada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conta turnos e tokens do seu jeito, e Pan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(2026) registram que a definição de turno varia entre eles. Aqui a medição ocorre em um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proxy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externo, igual para os dois </w:t>
      </w:r>
      <w:r w:rsidDel="00000000" w:rsidR="00000000" w:rsidRPr="00000000">
        <w:rPr>
          <w:i w:val="1"/>
          <w:iCs w:val="1"/>
          <w:rtl w:val="0"/>
        </w:rPr>
        <w:t xml:space="preserve">coding agents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e o objetivo (5) compara essa medida com o relato de cada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As métricas serão tokens por construção, ao lado da fração de testes aprovados, e o Succ/Mtok (sucessos por milhão de tokens) de Lin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(2026). O efeito também depende do modelo, pois em nove de doze comparações de Pan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(2026) o maior sucesso veio de um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que não é o do fornecedor do modelo. Por isso o desenho terá dois níveis de modelo.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 MATERIAL E MÉTODO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A pesquisa é aplicada quanto à finalidade, quali-quantitativa quanto à abordagem, exploratória quanto aos objetivos, experimental quanto aos procedimentos e dedutiva quanto ao método. É exploratória porque não se encontrou comparação publicada de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harnesses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construindo o mesmo produto completo. 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é a variável manipulada, e modelo, especificação, espaço de trabalho inicial e limites ficam controlados.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Declara-se o uso do Claude Code no levantamento das fontes, organizado pelo método </w:t>
      </w:r>
      <w:r>
        <w:rPr>
          <w:b w:val="0"/>
          <w:i/>
          <w:bCs w:val="0"/>
          <w:iCs w:val="0"/>
          <w:rtl w:val="0"/>
        </w:rPr>
        <w:t xml:space="preserve">LLM Wiki</w:t>
      </w:r>
      <w:r>
        <w:rPr>
          <w:b w:val="0"/>
          <w:i w:val="0"/>
          <w:bCs w:val="0"/>
          <w:iCs w:val="0"/>
          <w:rtl w:val="0"/>
        </w:rPr>
        <w:t xml:space="preserve"> de Karpathy (2026) no repositório do projeto (YuukiFST, 2026c), nas decisões do Finn, mapeadas com o Helmsman (YuukiFST, 2026a), e na sua versão de referência. O autor conferiu cada afirmação citada na obra e responde pelo texto e pelas decisões de produto.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medição terá duas camadas. A Camada 1 mede, contra um </w:t>
      </w:r>
      <w:r>
        <w:rPr>
          <w:b w:val="0"/>
          <w:i/>
          <w:bCs w:val="0"/>
          <w:iCs w:val="0"/>
          <w:rtl w:val="0"/>
        </w:rPr>
        <w:t xml:space="preserve">endpoint</w:t>
      </w:r>
      <w:r>
        <w:rPr>
          <w:b w:val="0"/>
          <w:i w:val="0"/>
          <w:bCs w:val="0"/>
          <w:iCs w:val="0"/>
          <w:rtl w:val="0"/>
        </w:rPr>
        <w:t xml:space="preserve"> simulado, os esquemas de ferramenta, o </w:t>
      </w:r>
      <w:r>
        <w:rPr>
          <w:b w:val="0"/>
          <w:i/>
          <w:bCs w:val="0"/>
          <w:iCs w:val="0"/>
          <w:rtl w:val="0"/>
        </w:rPr>
        <w:t xml:space="preserve">system prompt</w:t>
      </w:r>
      <w:r>
        <w:rPr>
          <w:b w:val="0"/>
          <w:i w:val="0"/>
          <w:bCs w:val="0"/>
          <w:iCs w:val="0"/>
          <w:rtl w:val="0"/>
        </w:rPr>
        <w:t xml:space="preserve"> e os tokens de cada requisição, ou seja, a carga fixa de cada </w:t>
      </w:r>
      <w:r>
        <w:rPr>
          <w:b w:val="0"/>
          <w:i/>
          <w:bCs w:val="0"/>
          <w:iCs w:val="0"/>
          <w:rtl w:val="0"/>
        </w:rPr>
        <w:t xml:space="preserve">coding agent</w:t>
      </w:r>
      <w:r>
        <w:rPr>
          <w:b w:val="0"/>
          <w:i w:val="0"/>
          <w:bCs w:val="0"/>
          <w:iCs w:val="0"/>
          <w:rtl w:val="0"/>
        </w:rPr>
        <w:t xml:space="preserve"> sem tarefa. A Camada 2 mede a construção contra o modelo real.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Os </w:t>
      </w:r>
      <w:r>
        <w:rPr>
          <w:b w:val="0"/>
          <w:i/>
          <w:bCs w:val="0"/>
          <w:iCs w:val="0"/>
          <w:rtl w:val="0"/>
        </w:rPr>
        <w:t xml:space="preserve">coding agents</w:t>
      </w:r>
      <w:r>
        <w:rPr>
          <w:b w:val="0"/>
          <w:i w:val="0"/>
          <w:bCs w:val="0"/>
          <w:iCs w:val="0"/>
          <w:rtl w:val="0"/>
        </w:rPr>
        <w:t xml:space="preserve"> serão o OpenCode (Opencode, 2026a) e o Pi (Earendil, 2026). Os dois são de código aberto (Opencode, 2026a; Pan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, 2026). As versões serão fixadas e registradas no repositório (YuukiFST, 2026c).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 produto será o Finn, SaaS multiempresa em que a empresa cliente fala com o próprio financeiro por voz e recebe lançamento, relatório e aviso no celular (YuukiFST, 2026b), decidido em 24 </w:t>
      </w:r>
      <w:r>
        <w:rPr>
          <w:b w:val="0"/>
          <w:i/>
          <w:bCs w:val="0"/>
          <w:iCs w:val="0"/>
          <w:rtl w:val="0"/>
        </w:rPr>
        <w:t xml:space="preserve">tickets</w:t>
      </w:r>
      <w:r>
        <w:rPr>
          <w:b w:val="0"/>
          <w:i w:val="0"/>
          <w:bCs w:val="0"/>
          <w:iCs w:val="0"/>
          <w:rtl w:val="0"/>
        </w:rPr>
        <w:t xml:space="preserve">. O autor construirá antes uma versão de referência e marcará no git o fim de cada etapa. Dela sairá a especificação, congelada por SHA-256: produto, pilha, interface dos testes e funcionalidades em JSON, no formato de Young (2025), uma unidade por etapa, ao menos seis. O executor chama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uma vez por unidade, com o mesmo </w:t>
      </w:r>
      <w:r>
        <w:rPr>
          <w:b w:val="0"/>
          <w:i/>
          <w:bCs w:val="0"/>
          <w:iCs w:val="0"/>
          <w:rtl w:val="0"/>
        </w:rPr>
        <w:t xml:space="preserve">prompt</w:t>
      </w:r>
      <w:r>
        <w:rPr>
          <w:b w:val="0"/>
          <w:i w:val="0"/>
          <w:bCs w:val="0"/>
          <w:iCs w:val="0"/>
          <w:rtl w:val="0"/>
        </w:rPr>
        <w:t xml:space="preserve"> nos dois </w:t>
      </w:r>
      <w:r>
        <w:rPr>
          <w:b w:val="0"/>
          <w:i/>
          <w:bCs w:val="0"/>
          <w:iCs w:val="0"/>
          <w:rtl w:val="0"/>
        </w:rPr>
        <w:t xml:space="preserve">coding agents</w:t>
      </w:r>
      <w:r>
        <w:rPr>
          <w:b w:val="0"/>
          <w:i w:val="0"/>
          <w:bCs w:val="0"/>
          <w:iCs w:val="0"/>
          <w:rtl w:val="0"/>
        </w:rPr>
        <w:t xml:space="preserve">, e cada unidade parte do que o agente construiu na anterior. Nenhum código do autor entra no espaço de trabalho.</w:t>
      </w:r>
    </w:p>
    <w:p w:rsidR="00000000" w:rsidDel="00000000" w:rsidP="00000000" w:rsidRDefault="00000000" w:rsidRPr="00000000" w14:paraId="0000004F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A pontuação será a fração dos testes de aceitação aprovados. O autor escreverá os testes antes da execução, fora do espaço de trabalho, e os rodará sobre uma cópia dele ao fim de cada unidade. Todos devem passar antes na referência, no marco da etapa. Os testes escritos pelo agente não contam, e uma unidade conta como concluída quando todos os seus testes passam.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Serão dois níveis de modelo, primário e de robustez, ambos gratuitos no mesm</w:t>
      </w:r>
      <w:r w:rsidDel="00000000" w:rsidR="00000000" w:rsidRPr="00000000">
        <w:rPr>
          <w:rtl w:val="0"/>
        </w:rPr>
        <w:t xml:space="preserve">o </w:t>
      </w:r>
      <w:r w:rsidDel="00000000" w:rsidR="00000000" w:rsidRPr="00000000">
        <w:rPr>
          <w:i w:val="1"/>
          <w:iCs w:val="1"/>
          <w:rtl w:val="0"/>
        </w:rPr>
        <w:t xml:space="preserve">gateway</w:t>
      </w:r>
      <w:r w:rsidDel="00000000" w:rsidR="00000000" w:rsidRPr="00000000">
        <w:rPr>
          <w:rtl w:val="0"/>
        </w:rPr>
        <w:t xml:space="preserve"> (Opencode, 2026b), com resultados relatados por nível. Se a ordenação dos </w:t>
      </w:r>
      <w:r w:rsidDel="00000000" w:rsidR="00000000" w:rsidRPr="00000000">
        <w:rPr>
          <w:i w:val="1"/>
          <w:iCs w:val="1"/>
          <w:rtl w:val="0"/>
        </w:rPr>
        <w:t xml:space="preserve">coding agents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inverter de um nível para o outro, a inversão será reportada como resultado.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proxy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guardará os tokens que 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gateway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informa em cada resposta, com o cache à parte, e separará em cada requisição a carga fixa (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system prompt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e ferramentas) do resto da conversa, para H2. A contagem do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serve só para verificação cruzada.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Haverá um único limite, igual para os dois </w:t>
      </w:r>
      <w:r w:rsidDel="00000000" w:rsidR="00000000" w:rsidRPr="00000000">
        <w:rPr>
          <w:i w:val="1"/>
          <w:iCs w:val="1"/>
          <w:rtl w:val="0"/>
        </w:rPr>
        <w:t xml:space="preserve">coding agents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tempo de relógio por unidade, de três vezes a maior mediana dos </w:t>
      </w:r>
      <w:r w:rsidDel="00000000" w:rsidR="00000000" w:rsidRPr="00000000">
        <w:rPr>
          <w:i w:val="1"/>
          <w:iCs w:val="1"/>
          <w:rtl w:val="0"/>
        </w:rPr>
        <w:t xml:space="preserve">coding agents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nas unidades-piloto. O número de passos fica livre, porque um teto de passos é decisão de projeto de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e apagaria a diferença sob teste.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line="360" w:lineRule="auto"/>
        <w:ind w:firstLine="709"/>
        <w:jc w:val="both"/>
        <w:rPr/>
      </w:pPr>
      <w:r w:rsidDel="00000000" w:rsidR="00000000" w:rsidRPr="00000000">
        <w:rPr>
          <w:rFonts w:ascii="Gungsuh" w:cs="Gungsuh" w:eastAsia="Gungsuh" w:hAnsi="Gungsuh"/>
          <w:b w:val="0"/>
          <w:bCs w:val="0"/>
          <w:i w:val="0"/>
          <w:iCs w:val="0"/>
          <w:rtl w:val="0"/>
        </w:rPr>
        <w:t xml:space="preserve">Cada combinação de </w:t>
      </w:r>
      <w:r w:rsidDel="00000000" w:rsidR="00000000" w:rsidRPr="00000000">
        <w:rPr>
          <w:i w:val="1"/>
          <w:iCs w:val="1"/>
          <w:rtl w:val="0"/>
        </w:rPr>
        <w:t xml:space="preserve">coding agent</w:t>
      </w:r>
      <w:r w:rsidDel="00000000" w:rsidR="00000000" w:rsidRPr="00000000">
        <w:rPr>
          <w:rFonts w:ascii="Gungsuh" w:cs="Gungsuh" w:eastAsia="Gungsuh" w:hAnsi="Gungsuh"/>
          <w:b w:val="0"/>
          <w:bCs w:val="0"/>
          <w:i w:val="0"/>
          <w:iCs w:val="0"/>
          <w:rtl w:val="0"/>
        </w:rPr>
        <w:t xml:space="preserve"> e nível terá ao menos três construções completas válidas, relatadas em mediana e dispersão.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comparação usará o teste de Wilcoxon dos postos sinalizados, bilateral, α = 0,05, sobre tokens e Succ/Mtok, pareado por unidade. O pareamento remove a dificuldade comum aos dois </w:t>
      </w:r>
      <w:r>
        <w:rPr>
          <w:b w:val="0"/>
          <w:i/>
          <w:bCs w:val="0"/>
          <w:iCs w:val="0"/>
          <w:rtl w:val="0"/>
        </w:rPr>
        <w:t xml:space="preserve">coding agents</w:t>
      </w:r>
      <w:r>
        <w:rPr>
          <w:b w:val="0"/>
          <w:i w:val="0"/>
          <w:bCs w:val="0"/>
          <w:iCs w:val="0"/>
          <w:rtl w:val="0"/>
        </w:rPr>
        <w:t xml:space="preserve"> (Miller, 2024). O resultado principal será a razão entre as medianas de tokens por construção dos </w:t>
      </w:r>
      <w:r>
        <w:rPr>
          <w:b w:val="0"/>
          <w:i/>
          <w:bCs w:val="0"/>
          <w:iCs w:val="0"/>
          <w:rtl w:val="0"/>
        </w:rPr>
        <w:t xml:space="preserve">coding agents</w:t>
      </w:r>
      <w:r>
        <w:rPr>
          <w:b w:val="0"/>
          <w:i w:val="0"/>
          <w:bCs w:val="0"/>
          <w:iCs w:val="0"/>
          <w:rtl w:val="0"/>
        </w:rPr>
        <w:t xml:space="preserve">. A fração de testes aprovados será relatada sem teste, pois um empate em 100% não deixa diferença a testar. As predições serão registradas antes da coleta.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Unidade não concluída conta como resultado, com a fração de testes aprovados, e a construção segue. Medição não confiável, como a troca do modelo servido no meio da coleta, descarta a construção inteira.</w:t>
      </w:r>
    </w:p>
    <w:p w:rsidR="00000000" w:rsidDel="00000000" w:rsidP="00000000" w:rsidRDefault="00000000" w:rsidRPr="00000000" w14:paraId="00000056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Limitações e ameaças à validade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="360" w:lineRule="auto"/>
        <w:ind w:firstLine="709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O projeto tem quatro limitações. O efeito do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depende do modelo, então as conclusões valem por nível. O produto é um único SaaS, especificado a partir da solução do autor. Cada </w:t>
      </w:r>
      <w:r w:rsidDel="00000000" w:rsidR="00000000" w:rsidRPr="00000000">
        <w:rPr>
          <w:i w:val="1"/>
          <w:iCs w:val="1"/>
          <w:rtl w:val="0"/>
        </w:rPr>
        <w:t xml:space="preserve">coding agent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carrega os próprios erros de uma unidade à seguinte, então as unidades não são independentes, embora o teste de Wilcoxon suponha que sejam; o valor-p será lido como indicativo, ao lado da diferença e da dispersão. Por fim, o nível gratuito do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gateway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pode trocar o modelo ou cortar a cota durante a coleta.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 ORÇAMENTO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1"/>
        <w:spacing w:after="40" w:before="12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Tabela 1 – Orçamento do projeto</w:t>
      </w:r>
      <w:r w:rsidDel="00000000" w:rsidR="00000000" w:rsidRPr="00000000">
        <w:rPr>
          <w:rtl w:val="0"/>
        </w:rPr>
      </w:r>
    </w:p>
    <w:tbl>
      <w:tblPr>
        <w:tblStyle w:val="Table1"/>
        <w:tblW w:w="907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520"/>
        <w:gridCol w:w="2551"/>
        <w:tblGridChange w:id="0">
          <w:tblGrid>
            <w:gridCol w:w="6520"/>
            <w:gridCol w:w="255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Custo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spacing w:after="20" w:before="20" w:lineRule="auto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Inferência dos modelos (dois níveis, nível gratuito do </w:t>
            </w:r>
            <w:r w:rsidDel="00000000" w:rsidR="00000000" w:rsidRPr="00000000">
              <w:rPr>
                <w:b w:val="0"/>
                <w:bCs w:val="0"/>
                <w:i w:val="1"/>
                <w:iCs w:val="1"/>
                <w:sz w:val="22"/>
                <w:szCs w:val="22"/>
                <w:rtl w:val="0"/>
              </w:rPr>
              <w:t xml:space="preserve">gateway</w:t>
            </w:r>
            <w:r w:rsidDel="00000000" w:rsidR="00000000" w:rsidRPr="00000000">
              <w:rPr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R$ 0,00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spacing w:after="20" w:before="20" w:lineRule="auto"/>
              <w:rPr/>
            </w:pPr>
            <w:r w:rsidDel="00000000" w:rsidR="00000000" w:rsidRPr="00000000">
              <w:rPr>
                <w:b w:val="0"/>
                <w:bCs w:val="0"/>
                <w:i w:val="1"/>
                <w:iCs w:val="1"/>
                <w:sz w:val="22"/>
                <w:szCs w:val="22"/>
                <w:rtl w:val="0"/>
              </w:rPr>
              <w:t xml:space="preserve">Harnesses</w:t>
            </w:r>
            <w:r w:rsidDel="00000000" w:rsidR="00000000" w:rsidRPr="00000000">
              <w:rPr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 e ferramentas de código aberto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R$ 0,00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spacing w:after="20" w:before="20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Hardware (PC pessoal, NixOS)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R$ 0,00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R$ 0,00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spacing w:after="120" w:before="4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 CRONOGRAMA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1"/>
        <w:spacing w:after="40" w:before="12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Tabela 2 – Cronograma de execução</w:t>
      </w:r>
      <w:r w:rsidDel="00000000" w:rsidR="00000000" w:rsidRPr="00000000">
        <w:rPr>
          <w:rtl w:val="0"/>
        </w:rPr>
      </w:r>
    </w:p>
    <w:tbl>
      <w:tblPr>
        <w:tblStyle w:val="Table2"/>
        <w:tblW w:w="907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411"/>
        <w:gridCol w:w="1220"/>
        <w:gridCol w:w="1220"/>
        <w:gridCol w:w="1220"/>
        <w:tblGridChange w:id="0">
          <w:tblGrid>
            <w:gridCol w:w="5411"/>
            <w:gridCol w:w="1220"/>
            <w:gridCol w:w="1220"/>
            <w:gridCol w:w="12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FASES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AGOSTO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SETEMBRO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OUTUBRO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LEITURA E LEVANTAMENTO BIBLIOGRÁFICO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F">
            <w:pPr>
              <w:spacing w:after="20" w:before="20" w:lineRule="auto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8"/>
                <w:szCs w:val="18"/>
                <w:rtl w:val="0"/>
              </w:rPr>
              <w:t xml:space="preserve">DEFINIÇÃO DO TEMA E DAS HIPÓTESES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spacing w:after="20" w:before="20" w:lineRule="auto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8"/>
                <w:szCs w:val="18"/>
                <w:rtl w:val="0"/>
              </w:rPr>
              <w:t xml:space="preserve">FINN DE REFERÊNCIA, PROXY E TESTES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7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ESCREVENDO INTRODUÇÃO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ESCREVENDO REFERENCIAL TEÓRICO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ESCREVENDO MATERIAL E MÉTODO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EXECUÇÃO DA MATRIZ DE EXPERIMENTOS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ANÁLISE DOS RESULTADOS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B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ELABORANDO AS REFERÊNCIAS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F">
            <w:pPr>
              <w:spacing w:after="20" w:before="20" w:lineRule="auto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z w:val="18"/>
                <w:szCs w:val="18"/>
                <w:rtl w:val="0"/>
              </w:rPr>
              <w:t xml:space="preserve">REVISÃO FINAL E APRESENTAÇÃO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3">
      <w:pPr>
        <w:spacing w:after="120" w:before="4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 REFERÊNCIAS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EARENDIL. </w:t>
      </w:r>
      <w:r w:rsidDel="00000000" w:rsidR="00000000" w:rsidRPr="00000000">
        <w:rPr>
          <w:b w:val="1"/>
          <w:bCs w:val="1"/>
          <w:rtl w:val="0"/>
        </w:rPr>
        <w:t xml:space="preserve">Pi, minimal and performant</w:t>
      </w:r>
      <w:r w:rsidDel="00000000" w:rsidR="00000000" w:rsidRPr="00000000">
        <w:rPr>
          <w:rtl w:val="0"/>
        </w:rPr>
        <w:t xml:space="preserve">. 2026. Publicação de blogue institucional. Disponível em: https://earendil.com/posts/pi-autoresearch-and-databricks/. Acesso em: 28 ago. 2026.</w:t>
      </w:r>
    </w:p>
    <w:p w:rsidR="00000000" w:rsidDel="00000000" w:rsidP="00000000" w:rsidRDefault="00000000" w:rsidRPr="00000000" w14:paraId="00000096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KARPATHY, Andrej.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LLM Wiki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a pattern for building personal knowledge bases using LLMs. 2026. Gist (GitHub). Disponível em: https://gist.github.com/karpathy/442a6bf555914893e9891c11519de94f. Acesso em: 14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LIN, Jiahang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Agentic harness engineering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observability-driven automatic evolution of coding-agent harnesses. arXiv:2604.25850, 2026.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Preprint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não revisado por pares. Disponível em: https://arxiv.org/abs/2604.25850. Acesso em: 28 ago.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LIU, Haozhe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SoL-Pi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recursively scaling auto-research loops for efficient agent harness. arXiv:2609.20519, 2026.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Preprint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não revisado por pares. Disponível em: https://arxiv.org/abs/2609.20519. Acesso em: 23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MILLER, Evan.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Adding error bars to evals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a statistical approach to language model evaluations. arXiv:2411.00640, 2024.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Preprint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não revisado por pares. Disponível em: https://arxiv.org/abs/2411.00640. Acesso em: 28 ago.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NING, Xuying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Code as agent harness</w:t>
      </w:r>
      <w:r w:rsidDel="00000000" w:rsidR="00000000" w:rsidRPr="00000000">
        <w:rPr>
          <w:rtl w:val="0"/>
        </w:rPr>
        <w:t xml:space="preserve">. arXiv:2605.18747, 2026. </w:t>
      </w:r>
      <w:r w:rsidDel="00000000" w:rsidR="00000000" w:rsidRPr="00000000">
        <w:rPr>
          <w:i w:val="1"/>
          <w:iCs w:val="1"/>
          <w:rtl w:val="0"/>
        </w:rPr>
        <w:t xml:space="preserve">Preprint</w:t>
      </w:r>
      <w:r w:rsidDel="00000000" w:rsidR="00000000" w:rsidRPr="00000000">
        <w:rPr>
          <w:rtl w:val="0"/>
        </w:rPr>
        <w:t xml:space="preserve">, não revisado por pares. Disponível em: https://arxiv.org/abs/2605.18747. Acesso em: 28 ago. 2026.</w:t>
      </w:r>
    </w:p>
    <w:p w:rsidR="00000000" w:rsidDel="00000000" w:rsidP="00000000" w:rsidRDefault="00000000" w:rsidRPr="00000000" w14:paraId="0000009B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OPENCODE.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OpenCode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the open source coding agent. 2026a. Repositório de código. Disponível em: https://github.com/anomalyco/opencode. Acesso em: 14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OPENCODE.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Zen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. 2026b. Documentação do produto. Disponível em: https://opencode.ai/docs/zen/. Acesso em: 28 ago.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PAN, Melissa Z.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HarnessTax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how much does the harness matter for coding agents? 2026. Publicação de blogue de pesquisa, não revisada por pares. Disponível em: https://harnesstax.github.io/. Acesso em: 23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YOUNG, Justin.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Effective harnesses for long-running agents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. 2025. Publicação de blogue de engenharia (Anthropic), não revisada por pares. Disponível em: https://www.anthropic.com/engineering/effective-harnesses-for-long-running-agents. Acesso em: 24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YUUKIFST.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agent-dotfiles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skill Helmsman, mapa de decisões para agentes de codificação. 2026a. Repositório de código. Disponível em: https://github.com/YuukiFST/agent-dotfiles/tree/main/skills/helmsman. Acesso em: 15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YUUKIFST.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Finn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SaaS universal de financeiro por voz. 2026b. Repositório de código. Disponível em: https://github.com/YuukiFST/Finn. Acesso em: 14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YUUKIFST.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harness-bench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executor, prompts, testes de aceitação, dados brutos e scripts de análise deste projeto. 2026c. Repositório de código. Disponível em: https://github.com/YuukiFST/harness-bench. Acesso em: 28 ago.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ZHANG, Yunbei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et al.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Stop comparing LLM agents without disclosing the harness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. arXiv:2605.23950, 2026.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Preprint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não revisado por pares. Disponível em: https://arxiv.org/abs/2605.23950. Acesso em: 28 ago. 2026.</w:t>
      </w:r>
      <w:r w:rsidDel="00000000" w:rsidR="00000000" w:rsidRPr="00000000">
        <w:rPr>
          <w:rtl w:val="0"/>
        </w:rPr>
      </w:r>
    </w:p>
    <w:sectPr>
      <w:headerReference r:id="rId6" w:type="default"/>
      <w:type w:val="nextPage"/>
      <w:pgSz w:h="16838" w:w="11906" w:orient="portrait"/>
      <w:pgMar w:bottom="1134" w:top="1701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ungsuh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57.0" w:type="dxa"/>
        <w:bottom w:w="0.0" w:type="dxa"/>
        <w:right w:w="57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