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spacing w:after="0" w:line="240" w:lineRule="auto"/>
        <w:jc w:val="center"/>
      </w:pPr>
      <w:r>
        <w:rPr>
          <w:rFonts w:ascii="Times New Roman" w:hAnsi="Times New Roman" w:cs="Times New Roman"/>
          <w:b/>
          <w:i w:val="0"/>
          <w:sz w:val="24"/>
        </w:rPr>
        <w:t>INSTITUTO FEDERAL DE EDUCAÇÃO, CIÊNCIA E TECNOLOGIA</w:t>
      </w:r>
    </w:p>
    <w:p>
      <w:pPr>
        <w:spacing w:after="0" w:line="240" w:lineRule="auto"/>
        <w:jc w:val="center"/>
      </w:pPr>
      <w:r>
        <w:rPr>
          <w:rFonts w:ascii="Times New Roman" w:hAnsi="Times New Roman" w:cs="Times New Roman"/>
          <w:b/>
          <w:i w:val="0"/>
          <w:sz w:val="24"/>
        </w:rPr>
        <w:t>DE MATO GROSSO - CAMPUS OCTAYDE JORGE DA SILVA</w:t>
      </w:r>
    </w:p>
    <w:p>
      <w:pPr>
        <w:spacing w:after="0" w:line="240" w:lineRule="auto"/>
        <w:jc w:val="center"/>
      </w:pPr>
      <w:r>
        <w:rPr>
          <w:rFonts w:ascii="Times New Roman" w:hAnsi="Times New Roman" w:cs="Times New Roman"/>
          <w:b/>
          <w:i w:val="0"/>
          <w:sz w:val="24"/>
        </w:rPr>
        <w:t>DIRETORIA DE ENSINO</w:t>
      </w:r>
    </w:p>
    <w:p>
      <w:pPr>
        <w:spacing w:after="0" w:line="240" w:lineRule="auto"/>
        <w:jc w:val="center"/>
      </w:pPr>
      <w:r>
        <w:rPr>
          <w:rFonts w:ascii="Times New Roman" w:hAnsi="Times New Roman" w:cs="Times New Roman"/>
          <w:b/>
          <w:i w:val="0"/>
          <w:sz w:val="24"/>
        </w:rPr>
        <w:t>DEPARTAMENTO DE ÁREA DE INFORMÁTICA</w:t>
      </w:r>
    </w:p>
    <w:p/>
    <w:p/>
    <w:p/>
    <w:p/>
    <w:p>
      <w:pPr>
        <w:spacing w:after="0"/>
        <w:jc w:val="center"/>
      </w:pPr>
      <w:r>
        <w:rPr>
          <w:rFonts w:ascii="Times New Roman" w:hAnsi="Times New Roman" w:cs="Times New Roman"/>
          <w:b/>
          <w:i w:val="0"/>
          <w:sz w:val="28"/>
        </w:rPr>
        <w:t>FAUSTO YUUKI T.A FREIRE</w:t>
      </w:r>
    </w:p>
    <w:p/>
    <w:p/>
    <w:p/>
    <w:p/>
    <w:p/>
    <w:p/>
    <w:p>
      <w:pPr>
        <w:spacing w:line="360" w:lineRule="auto" w:after="0"/>
        <w:jc w:val="center"/>
      </w:pPr>
      <w:r>
        <w:rPr>
          <w:rFonts w:ascii="Times New Roman" w:hAnsi="Times New Roman" w:cs="Times New Roman"/>
          <w:b w:val="0"/>
          <w:i w:val="0"/>
          <w:sz w:val="32"/>
        </w:rPr>
        <w:t xml:space="preserve">O HARNESS COMO DECISÃO DO DESENVOLVEDOR: CUSTO POR TAREFA CONCLUÍDA E TAXA DE SUCESSO DE AGENTES DE CODIFICAÇÃO SOB UM MESMO MODELO</w:t>
      </w:r>
    </w:p>
    <w:p/>
    <w:p/>
    <w:p/>
    <w:p/>
    <w:p/>
    <w:p/>
    <w:p/>
    <w:p/>
    <w:p>
      <w:pPr>
        <w:spacing w:after="0" w:line="240" w:lineRule="auto"/>
        <w:jc w:val="center"/>
      </w:pPr>
      <w:r>
        <w:rPr>
          <w:rFonts w:ascii="Times New Roman" w:hAnsi="Times New Roman" w:cs="Times New Roman"/>
          <w:b w:val="0"/>
          <w:i w:val="0"/>
          <w:sz w:val="24"/>
        </w:rPr>
        <w:t>Cuiabá</w:t>
      </w:r>
    </w:p>
    <w:p>
      <w:pPr>
        <w:spacing w:after="0" w:line="240" w:lineRule="auto"/>
        <w:jc w:val="center"/>
      </w:pPr>
      <w:r>
        <w:rPr>
          <w:rFonts w:ascii="Times New Roman" w:hAnsi="Times New Roman" w:cs="Times New Roman"/>
          <w:b w:val="0"/>
          <w:i w:val="0"/>
          <w:sz w:val="24"/>
        </w:rPr>
        <w:t>2026</w:t>
      </w:r>
    </w:p>
    <w:p>
      <w:r>
        <w:br w:type="page"/>
      </w:r>
    </w:p>
    <w:p>
      <w:pPr>
        <w:spacing w:after="0"/>
        <w:jc w:val="center"/>
      </w:pPr>
      <w:r>
        <w:rPr>
          <w:rFonts w:ascii="Times New Roman" w:hAnsi="Times New Roman" w:cs="Times New Roman"/>
          <w:b/>
          <w:i w:val="0"/>
          <w:sz w:val="24"/>
        </w:rPr>
        <w:t>FAUSTO YUUKI T.A FREIRE</w:t>
      </w:r>
    </w:p>
    <w:p/>
    <w:p/>
    <w:p/>
    <w:p/>
    <w:p/>
    <w:p/>
    <w:p/>
    <w:p>
      <w:pPr>
        <w:spacing w:line="360" w:lineRule="auto" w:after="0"/>
        <w:jc w:val="center"/>
      </w:pPr>
      <w:r>
        <w:rPr>
          <w:rFonts w:ascii="Times New Roman" w:hAnsi="Times New Roman" w:cs="Times New Roman"/>
          <w:b w:val="0"/>
          <w:i w:val="0"/>
          <w:sz w:val="28"/>
        </w:rPr>
        <w:t xml:space="preserve">O HARNESS COMO DECISÃO DO DESENVOLVEDOR: CUSTO POR TAREFA CONCLUÍDA E TAXA DE SUCESSO DE AGENTES DE CODIFICAÇÃO SOB UM MESMO MODELO</w:t>
      </w:r>
    </w:p>
    <w:p/>
    <w:p/>
    <w:p/>
    <w:p/>
    <w:p>
      <w:pPr>
        <w:spacing w:line="240" w:lineRule="auto" w:after="0"/>
        <w:ind w:left="4535"/>
        <w:jc w:val="both"/>
      </w:pPr>
      <w:r>
        <w:rPr>
          <w:rFonts w:ascii="Times New Roman" w:hAnsi="Times New Roman" w:cs="Times New Roman"/>
          <w:b w:val="0"/>
          <w:i w:val="0"/>
          <w:sz w:val="24"/>
        </w:rPr>
        <w:t>Projeto de Conclusão de Curso apresentado ao Departamento de Área de Informática do Instituto Federal de Educação, Ciência e Tecnologia de Mato Grosso, Campus Octayde Jorge da Silva, como requisito parcial para a conclusão do curso de Sistemas para Internet.</w:t>
      </w:r>
    </w:p>
    <w:p>
      <w:pPr>
        <w:spacing w:line="240" w:lineRule="auto" w:before="240" w:after="0"/>
        <w:ind w:left="4535"/>
        <w:jc w:val="both"/>
      </w:pPr>
      <w:r>
        <w:rPr>
          <w:rFonts w:ascii="Times New Roman" w:hAnsi="Times New Roman" w:cs="Times New Roman"/>
          <w:b w:val="0"/>
          <w:i w:val="0"/>
          <w:sz w:val="24"/>
        </w:rPr>
        <w:t>Orientadora: Profa. Inara Silva</w:t>
      </w:r>
    </w:p>
    <w:p/>
    <w:p/>
    <w:p/>
    <w:p/>
    <w:p/>
    <w:p/>
    <w:p>
      <w:pPr>
        <w:spacing w:after="0" w:line="240" w:lineRule="auto"/>
        <w:jc w:val="center"/>
      </w:pPr>
      <w:r>
        <w:rPr>
          <w:rFonts w:ascii="Times New Roman" w:hAnsi="Times New Roman" w:cs="Times New Roman"/>
          <w:b w:val="0"/>
          <w:i w:val="0"/>
          <w:sz w:val="24"/>
        </w:rPr>
        <w:t>Cuiabá</w:t>
      </w:r>
    </w:p>
    <w:p>
      <w:pPr>
        <w:spacing w:after="0" w:line="240" w:lineRule="auto"/>
        <w:jc w:val="center"/>
      </w:pPr>
      <w:r>
        <w:rPr>
          <w:rFonts w:ascii="Times New Roman" w:hAnsi="Times New Roman" w:cs="Times New Roman"/>
          <w:b w:val="0"/>
          <w:i w:val="0"/>
          <w:sz w:val="24"/>
        </w:rPr>
        <w:t>2026</w:t>
      </w:r>
    </w:p>
    <w:p>
      <w:r>
        <w:br w:type="page"/>
      </w:r>
    </w:p>
    <w:p>
      <w:pPr>
        <w:spacing w:after="480"/>
        <w:jc w:val="center"/>
      </w:pPr>
      <w:r>
        <w:rPr>
          <w:rFonts w:ascii="Times New Roman" w:hAnsi="Times New Roman" w:cs="Times New Roman"/>
          <w:b/>
          <w:i w:val="0"/>
          <w:sz w:val="28"/>
        </w:rPr>
        <w:t>SUMÁRIO</w:t>
      </w:r>
    </w:p>
    <w:p>
      <w:pPr>
        <w:tabs>
          <w:tab w:pos="9071" w:val="right"/>
        </w:tabs>
        <w:spacing w:line="360" w:lineRule="auto" w:after="0"/>
        <w:ind w:firstLine="0"/>
      </w:pPr>
      <w:r>
        <w:rPr>
          <w:rFonts w:ascii="Times New Roman" w:hAnsi="Times New Roman" w:cs="Times New Roman"/>
          <w:b w:val="0"/>
          <w:i w:val="0"/>
          <w:sz w:val="24"/>
        </w:rPr>
        <w:t>1 INTRODUÇÃO</w:t>
        <w:tab/>
        <w:t>1</w:t>
      </w:r>
    </w:p>
    <w:p>
      <w:pPr>
        <w:tabs>
          <w:tab w:pos="9071" w:val="right"/>
        </w:tabs>
        <w:spacing w:line="360" w:lineRule="auto" w:after="0"/>
        <w:ind w:firstLine="0"/>
      </w:pPr>
      <w:r>
        <w:rPr>
          <w:rFonts w:ascii="Times New Roman" w:hAnsi="Times New Roman" w:cs="Times New Roman"/>
          <w:b w:val="0"/>
          <w:i w:val="0"/>
          <w:sz w:val="24"/>
        </w:rPr>
        <w:t>2 REFERENCIAL TEÓRICO</w:t>
        <w:tab/>
        <w:t>3</w:t>
      </w:r>
    </w:p>
    <w:p>
      <w:pPr>
        <w:tabs>
          <w:tab w:pos="9071" w:val="right"/>
        </w:tabs>
        <w:spacing w:line="360" w:lineRule="auto" w:after="0"/>
        <w:ind w:firstLine="0"/>
      </w:pPr>
      <w:r>
        <w:rPr>
          <w:rFonts w:ascii="Times New Roman" w:hAnsi="Times New Roman" w:cs="Times New Roman"/>
          <w:b w:val="0"/>
          <w:i w:val="0"/>
          <w:sz w:val="24"/>
        </w:rPr>
        <w:t>3 REFERÊNCIAS</w:t>
        <w:tab/>
        <w:t>4</w:t>
      </w:r>
    </w:p>
    <w:p>
      <w:pPr>
        <w:sectPr>
          <w:pgSz w:w="11906" w:h="16838"/>
          <w:pgMar w:top="1701" w:right="1134" w:bottom="1134" w:left="1701" w:header="720" w:footer="720" w:gutter="0"/>
          <w:cols w:space="720"/>
          <w:docGrid w:linePitch="360"/>
        </w:sectPr>
      </w:pPr>
    </w:p>
    <w:p>
      <w:pPr>
        <w:keepNext/>
        <w:spacing w:line="360" w:lineRule="auto" w:before="240" w:after="120"/>
        <w:ind w:firstLine="0"/>
      </w:pPr>
      <w:r>
        <w:rPr>
          <w:rFonts w:ascii="Times New Roman" w:hAnsi="Times New Roman" w:cs="Times New Roman"/>
          <w:b/>
          <w:i w:val="0"/>
          <w:sz w:val="28"/>
        </w:rPr>
        <w:t>1 INTRODUÇÃO</w:t>
      </w:r>
    </w:p>
    <w:p>
      <w:pPr>
        <w:spacing w:line="360" w:lineRule="auto" w:before="120" w:after="0"/>
        <w:ind w:firstLine="0"/>
      </w:pPr>
      <w:r>
        <w:rPr>
          <w:rFonts w:ascii="Times New Roman" w:hAnsi="Times New Roman" w:cs="Times New Roman"/>
          <w:b/>
          <w:i w:val="0"/>
          <w:sz w:val="24"/>
        </w:rPr>
        <w:t>Justificativa</w:t>
      </w:r>
    </w:p>
    <w:p>
      <w:pPr>
        <w:spacing w:line="360" w:lineRule="auto" w:before="0" w:after="0"/>
        <w:ind w:firstLine="709"/>
        <w:jc w:val="both"/>
      </w:pPr>
      <w:r>
        <w:rPr>
          <w:rFonts w:ascii="Times New Roman" w:hAnsi="Times New Roman" w:cs="Times New Roman"/>
          <w:b w:val="0"/>
          <w:i w:val="0"/>
          <w:sz w:val="24"/>
        </w:rPr>
        <w:t xml:space="preserve">A escolha do modelo domina a conversa sobre agentes de codificação, mas quem programa escolhe também o </w:t>
      </w:r>
      <w:r>
        <w:rPr>
          <w:rFonts w:ascii="Times New Roman" w:hAnsi="Times New Roman" w:cs="Times New Roman"/>
          <w:b w:val="0"/>
          <w:i/>
          <w:sz w:val="24"/>
        </w:rPr>
        <w:t xml:space="preserve">harness</w:t>
      </w:r>
      <w:r>
        <w:rPr>
          <w:rFonts w:ascii="Times New Roman" w:hAnsi="Times New Roman" w:cs="Times New Roman"/>
          <w:b w:val="0"/>
          <w:i w:val="0"/>
          <w:sz w:val="24"/>
        </w:rPr>
        <w:t xml:space="preserve">. No FrontierHarness (Runta, 2026), nove </w:t>
      </w:r>
      <w:r>
        <w:rPr>
          <w:rFonts w:ascii="Times New Roman" w:hAnsi="Times New Roman" w:cs="Times New Roman"/>
          <w:b w:val="0"/>
          <w:i/>
          <w:sz w:val="24"/>
        </w:rPr>
        <w:t xml:space="preserve">harnesses</w:t>
      </w:r>
      <w:r>
        <w:rPr>
          <w:rFonts w:ascii="Times New Roman" w:hAnsi="Times New Roman" w:cs="Times New Roman"/>
          <w:b w:val="0"/>
          <w:i w:val="0"/>
          <w:sz w:val="24"/>
        </w:rPr>
        <w:t xml:space="preserve"> sobre um mesmo modelo ficam entre 50,0% e 66,7% de aprovação, e o custo mediano por tarefa concluída varia 17x, de US$ 1,05 a US$ 18,34.</w:t>
      </w:r>
    </w:p>
    <w:p>
      <w:pPr>
        <w:spacing w:line="360" w:lineRule="auto" w:before="0" w:after="0"/>
        <w:ind w:firstLine="709"/>
        <w:jc w:val="both"/>
      </w:pPr>
      <w:r>
        <w:rPr>
          <w:rFonts w:ascii="Times New Roman" w:hAnsi="Times New Roman" w:cs="Times New Roman"/>
          <w:b w:val="0"/>
          <w:i w:val="0"/>
          <w:sz w:val="24"/>
        </w:rPr>
        <w:t xml:space="preserve">Alier Forment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(2026) medem 139x de variação de custo entre </w:t>
      </w:r>
      <w:r>
        <w:rPr>
          <w:rFonts w:ascii="Times New Roman" w:hAnsi="Times New Roman" w:cs="Times New Roman"/>
          <w:b w:val="0"/>
          <w:i/>
          <w:sz w:val="24"/>
        </w:rPr>
        <w:t xml:space="preserve">scaffoldings</w:t>
      </w:r>
      <w:r>
        <w:rPr>
          <w:rFonts w:ascii="Times New Roman" w:hAnsi="Times New Roman" w:cs="Times New Roman"/>
          <w:b w:val="0"/>
          <w:i w:val="0"/>
          <w:sz w:val="24"/>
        </w:rPr>
        <w:t xml:space="preserve"> que concluem a mesma tarefa com o mesmo modelo. Nenhuma delas diz ao desenvolvedor o que fazer: todas contrastam ferramentas de equipes diferentes. Com a linhagem fixa, a diferença aparece antes do primeiro token: o oh-my-pi, </w:t>
      </w:r>
      <w:r>
        <w:rPr>
          <w:rFonts w:ascii="Times New Roman" w:hAnsi="Times New Roman" w:cs="Times New Roman"/>
          <w:b w:val="0"/>
          <w:i/>
          <w:sz w:val="24"/>
        </w:rPr>
        <w:t xml:space="preserve">fork</w:t>
      </w:r>
      <w:r>
        <w:rPr>
          <w:rFonts w:ascii="Times New Roman" w:hAnsi="Times New Roman" w:cs="Times New Roman"/>
          <w:b w:val="0"/>
          <w:i w:val="0"/>
          <w:sz w:val="24"/>
        </w:rPr>
        <w:t xml:space="preserve"> direto do pi, envia 11,4x os bytes do ascendente, 64.945 contra 5.676, medidos neste projeto. Medir quanto dessa carga chega ao resultado dá ao desenvolvedor, que hoje decide sem dado próprio, um critério de escolha, e à literatura a primeira comparação com a linhagem do </w:t>
      </w:r>
      <w:r>
        <w:rPr>
          <w:rFonts w:ascii="Times New Roman" w:hAnsi="Times New Roman" w:cs="Times New Roman"/>
          <w:b w:val="0"/>
          <w:i/>
          <w:sz w:val="24"/>
        </w:rPr>
        <w:t xml:space="preserve">harness</w:t>
      </w:r>
      <w:r>
        <w:rPr>
          <w:rFonts w:ascii="Times New Roman" w:hAnsi="Times New Roman" w:cs="Times New Roman"/>
          <w:b w:val="0"/>
          <w:i w:val="0"/>
          <w:sz w:val="24"/>
        </w:rPr>
        <w:t xml:space="preserve"> mantida fixa.</w:t>
      </w:r>
    </w:p>
    <w:p>
      <w:pPr>
        <w:spacing w:line="360" w:lineRule="auto" w:before="120" w:after="0"/>
        <w:ind w:firstLine="0"/>
      </w:pPr>
      <w:r>
        <w:rPr>
          <w:rFonts w:ascii="Times New Roman" w:hAnsi="Times New Roman" w:cs="Times New Roman"/>
          <w:b/>
          <w:i w:val="0"/>
          <w:sz w:val="24"/>
        </w:rPr>
        <w:t>Tema</w:t>
      </w:r>
    </w:p>
    <w:p>
      <w:pPr>
        <w:spacing w:line="360" w:lineRule="auto" w:before="0" w:after="0"/>
        <w:ind w:firstLine="709"/>
        <w:jc w:val="both"/>
      </w:pPr>
      <w:r>
        <w:rPr>
          <w:rFonts w:ascii="Times New Roman" w:hAnsi="Times New Roman" w:cs="Times New Roman"/>
          <w:b w:val="0"/>
          <w:i w:val="0"/>
          <w:sz w:val="24"/>
        </w:rPr>
        <w:t xml:space="preserve">A escolha do </w:t>
      </w:r>
      <w:r>
        <w:rPr>
          <w:rFonts w:ascii="Times New Roman" w:hAnsi="Times New Roman" w:cs="Times New Roman"/>
          <w:b w:val="0"/>
          <w:i/>
          <w:sz w:val="24"/>
        </w:rPr>
        <w:t xml:space="preserve">harness</w:t>
      </w:r>
      <w:r>
        <w:rPr>
          <w:rFonts w:ascii="Times New Roman" w:hAnsi="Times New Roman" w:cs="Times New Roman"/>
          <w:b w:val="0"/>
          <w:i w:val="0"/>
          <w:sz w:val="24"/>
        </w:rPr>
        <w:t xml:space="preserve"> como decisão de engenharia do desenvolvedor: seu efeito sobre o custo por tarefa concluída e sobre a taxa de sucesso de agentes de codificação, mantido fixo o modelo de linguagem.</w:t>
      </w:r>
    </w:p>
    <w:p>
      <w:pPr>
        <w:spacing w:line="360" w:lineRule="auto" w:before="120" w:after="0"/>
        <w:ind w:firstLine="0"/>
      </w:pPr>
      <w:r>
        <w:rPr>
          <w:rFonts w:ascii="Times New Roman" w:hAnsi="Times New Roman" w:cs="Times New Roman"/>
          <w:b/>
          <w:i w:val="0"/>
          <w:sz w:val="24"/>
        </w:rPr>
        <w:t>Problema</w:t>
      </w:r>
    </w:p>
    <w:p>
      <w:pPr>
        <w:spacing w:line="360" w:lineRule="auto" w:before="0" w:after="0"/>
        <w:ind w:firstLine="709"/>
        <w:jc w:val="both"/>
      </w:pPr>
      <w:r>
        <w:rPr>
          <w:rFonts w:ascii="Times New Roman" w:hAnsi="Times New Roman" w:cs="Times New Roman"/>
          <w:b w:val="0"/>
          <w:i w:val="0"/>
          <w:sz w:val="24"/>
        </w:rPr>
        <w:t xml:space="preserve">Para o desenvolvedor que já escolheu o modelo, quanto do custo por tarefa concluída e da taxa de sucesso do seu agente de codificação é determinado pelo </w:t>
      </w:r>
      <w:r>
        <w:rPr>
          <w:rFonts w:ascii="Times New Roman" w:hAnsi="Times New Roman" w:cs="Times New Roman"/>
          <w:b w:val="0"/>
          <w:i/>
          <w:sz w:val="24"/>
        </w:rPr>
        <w:t xml:space="preserve">harness</w:t>
      </w:r>
      <w:r>
        <w:rPr>
          <w:rFonts w:ascii="Times New Roman" w:hAnsi="Times New Roman" w:cs="Times New Roman"/>
          <w:b w:val="0"/>
          <w:i w:val="0"/>
          <w:sz w:val="24"/>
        </w:rPr>
        <w:t xml:space="preserve"> que ele adota? E quais decisões de projeto do </w:t>
      </w:r>
      <w:r>
        <w:rPr>
          <w:rFonts w:ascii="Times New Roman" w:hAnsi="Times New Roman" w:cs="Times New Roman"/>
          <w:b w:val="0"/>
          <w:i/>
          <w:sz w:val="24"/>
        </w:rPr>
        <w:t xml:space="preserve">harness</w:t>
      </w:r>
      <w:r>
        <w:rPr>
          <w:rFonts w:ascii="Times New Roman" w:hAnsi="Times New Roman" w:cs="Times New Roman"/>
          <w:b w:val="0"/>
          <w:i w:val="0"/>
          <w:sz w:val="24"/>
        </w:rPr>
        <w:t xml:space="preserve"> respondem por essa diferença, de modo que ele possa agir sobre elas em vez de apenas trocar de ferramenta às cegas?</w:t>
      </w:r>
    </w:p>
    <w:p>
      <w:pPr>
        <w:spacing w:line="360" w:lineRule="auto" w:before="120" w:after="0"/>
        <w:ind w:firstLine="0"/>
      </w:pPr>
      <w:r>
        <w:rPr>
          <w:rFonts w:ascii="Times New Roman" w:hAnsi="Times New Roman" w:cs="Times New Roman"/>
          <w:b/>
          <w:i w:val="0"/>
          <w:sz w:val="24"/>
        </w:rPr>
        <w:t>Objetivo geral</w:t>
      </w:r>
    </w:p>
    <w:p>
      <w:pPr>
        <w:spacing w:line="360" w:lineRule="auto" w:before="0" w:after="0"/>
        <w:ind w:firstLine="709"/>
        <w:jc w:val="both"/>
      </w:pPr>
      <w:r>
        <w:rPr>
          <w:rFonts w:ascii="Times New Roman" w:hAnsi="Times New Roman" w:cs="Times New Roman"/>
          <w:b w:val="0"/>
          <w:i w:val="0"/>
          <w:sz w:val="24"/>
        </w:rPr>
        <w:t xml:space="preserve">Medir, com o modelo de linguagem mantido fixo, quanto o </w:t>
      </w:r>
      <w:r>
        <w:rPr>
          <w:rFonts w:ascii="Times New Roman" w:hAnsi="Times New Roman" w:cs="Times New Roman"/>
          <w:b w:val="0"/>
          <w:i/>
          <w:sz w:val="24"/>
        </w:rPr>
        <w:t xml:space="preserve">harness</w:t>
      </w:r>
      <w:r>
        <w:rPr>
          <w:rFonts w:ascii="Times New Roman" w:hAnsi="Times New Roman" w:cs="Times New Roman"/>
          <w:b w:val="0"/>
          <w:i w:val="0"/>
          <w:sz w:val="24"/>
        </w:rPr>
        <w:t xml:space="preserve"> adotado determina o custo por tarefa concluída e a taxa de sucesso de um agente de codificação, isolando decisões específicas de projeto pela comparação entre um </w:t>
      </w:r>
      <w:r>
        <w:rPr>
          <w:rFonts w:ascii="Times New Roman" w:hAnsi="Times New Roman" w:cs="Times New Roman"/>
          <w:b w:val="0"/>
          <w:i/>
          <w:sz w:val="24"/>
        </w:rPr>
        <w:t xml:space="preserve">harness</w:t>
      </w:r>
      <w:r>
        <w:rPr>
          <w:rFonts w:ascii="Times New Roman" w:hAnsi="Times New Roman" w:cs="Times New Roman"/>
          <w:b w:val="0"/>
          <w:i w:val="0"/>
          <w:sz w:val="24"/>
        </w:rPr>
        <w:t xml:space="preserve"> e um </w:t>
      </w:r>
      <w:r>
        <w:rPr>
          <w:rFonts w:ascii="Times New Roman" w:hAnsi="Times New Roman" w:cs="Times New Roman"/>
          <w:b w:val="0"/>
          <w:i/>
          <w:sz w:val="24"/>
        </w:rPr>
        <w:t xml:space="preserve">fork</w:t>
      </w:r>
      <w:r>
        <w:rPr>
          <w:rFonts w:ascii="Times New Roman" w:hAnsi="Times New Roman" w:cs="Times New Roman"/>
          <w:b w:val="0"/>
          <w:i w:val="0"/>
          <w:sz w:val="24"/>
        </w:rPr>
        <w:t xml:space="preserve"> direto dele, e entregar o resultado como critério de escolha reproduzível pelo desenvolvedor.</w:t>
      </w:r>
    </w:p>
    <w:p>
      <w:pPr>
        <w:spacing w:line="360" w:lineRule="auto" w:before="120" w:after="0"/>
        <w:ind w:firstLine="0"/>
      </w:pPr>
      <w:r>
        <w:rPr>
          <w:rFonts w:ascii="Times New Roman" w:hAnsi="Times New Roman" w:cs="Times New Roman"/>
          <w:b/>
          <w:i w:val="0"/>
          <w:sz w:val="24"/>
        </w:rPr>
        <w:t>Objetivos específicos</w:t>
      </w:r>
    </w:p>
    <w:p>
      <w:pPr>
        <w:spacing w:line="360" w:lineRule="auto" w:before="0" w:after="0"/>
        <w:ind w:left="709" w:firstLine="0"/>
        <w:jc w:val="both"/>
      </w:pPr>
      <w:r>
        <w:rPr>
          <w:rFonts w:ascii="Times New Roman" w:hAnsi="Times New Roman" w:cs="Times New Roman"/>
          <w:b w:val="0"/>
          <w:i w:val="0"/>
          <w:sz w:val="24"/>
        </w:rPr>
        <w:t xml:space="preserve">1) construir um instrumento de medição externo aos </w:t>
      </w:r>
      <w:r>
        <w:rPr>
          <w:rFonts w:ascii="Times New Roman" w:hAnsi="Times New Roman" w:cs="Times New Roman"/>
          <w:b w:val="0"/>
          <w:i/>
          <w:sz w:val="24"/>
        </w:rPr>
        <w:t>harnesses</w:t>
      </w:r>
      <w:r>
        <w:rPr>
          <w:rFonts w:ascii="Times New Roman" w:hAnsi="Times New Roman" w:cs="Times New Roman"/>
          <w:b w:val="0"/>
          <w:i w:val="0"/>
          <w:sz w:val="24"/>
        </w:rPr>
        <w:t>, capaz de contabilizar de forma idêntica, para todos eles, o número de requisições ao modelo, os tokens de entrada e de saída e a latência por requisição;</w:t>
      </w:r>
    </w:p>
    <w:p>
      <w:pPr>
        <w:spacing w:line="360" w:lineRule="auto" w:before="0" w:after="0"/>
        <w:ind w:left="709" w:firstLine="0"/>
        <w:jc w:val="both"/>
      </w:pPr>
      <w:r>
        <w:rPr>
          <w:rFonts w:ascii="Times New Roman" w:hAnsi="Times New Roman" w:cs="Times New Roman"/>
          <w:b w:val="0"/>
          <w:i w:val="0"/>
          <w:sz w:val="24"/>
        </w:rPr>
        <w:t>2) definir uma suíte de tarefas de programação com objetivos numerados e crédito parcial, acompanhada de um oráculo automatizado independente dos testes produzidos pelo próprio agente;</w:t>
      </w:r>
    </w:p>
    <w:p>
      <w:pPr>
        <w:spacing w:line="360" w:lineRule="auto" w:before="0" w:after="0"/>
        <w:ind w:left="709" w:firstLine="0"/>
        <w:jc w:val="both"/>
      </w:pPr>
      <w:r>
        <w:rPr>
          <w:rFonts w:ascii="Times New Roman" w:hAnsi="Times New Roman" w:cs="Times New Roman"/>
          <w:b w:val="0"/>
          <w:i w:val="0"/>
          <w:sz w:val="24"/>
        </w:rPr>
        <w:t xml:space="preserve">3) implementar um </w:t>
      </w:r>
      <w:r>
        <w:rPr>
          <w:rFonts w:ascii="Times New Roman" w:hAnsi="Times New Roman" w:cs="Times New Roman"/>
          <w:b w:val="0"/>
          <w:i/>
          <w:sz w:val="24"/>
        </w:rPr>
        <w:t>harness</w:t>
      </w:r>
      <w:r>
        <w:rPr>
          <w:rFonts w:ascii="Times New Roman" w:hAnsi="Times New Roman" w:cs="Times New Roman"/>
          <w:b w:val="0"/>
          <w:i w:val="0"/>
          <w:sz w:val="24"/>
        </w:rPr>
        <w:t xml:space="preserve"> mínimo de referência, em laço ReAct, como controle científico do experimento;</w:t>
      </w:r>
    </w:p>
    <w:p>
      <w:pPr>
        <w:spacing w:line="360" w:lineRule="auto" w:before="0" w:after="0"/>
        <w:ind w:left="709" w:firstLine="0"/>
        <w:jc w:val="both"/>
      </w:pPr>
      <w:r>
        <w:rPr>
          <w:rFonts w:ascii="Times New Roman" w:hAnsi="Times New Roman" w:cs="Times New Roman"/>
          <w:b w:val="0"/>
          <w:i w:val="0"/>
          <w:sz w:val="24"/>
        </w:rPr>
        <w:t xml:space="preserve">4) executar a mesma suíte, com o mesmo modelo, em todos os </w:t>
      </w:r>
      <w:r>
        <w:rPr>
          <w:rFonts w:ascii="Times New Roman" w:hAnsi="Times New Roman" w:cs="Times New Roman"/>
          <w:b w:val="0"/>
          <w:i/>
          <w:sz w:val="24"/>
        </w:rPr>
        <w:t>harnesses</w:t>
      </w:r>
      <w:r>
        <w:rPr>
          <w:rFonts w:ascii="Times New Roman" w:hAnsi="Times New Roman" w:cs="Times New Roman"/>
          <w:b w:val="0"/>
          <w:i w:val="0"/>
          <w:sz w:val="24"/>
        </w:rPr>
        <w:t xml:space="preserve"> avaliados, repetindo cada condição e reportando dispersão;</w:t>
      </w:r>
    </w:p>
    <w:p>
      <w:pPr>
        <w:spacing w:line="360" w:lineRule="auto" w:before="0" w:after="0"/>
        <w:ind w:left="709" w:firstLine="0"/>
        <w:jc w:val="both"/>
      </w:pPr>
      <w:r>
        <w:rPr>
          <w:rFonts w:ascii="Times New Roman" w:hAnsi="Times New Roman" w:cs="Times New Roman"/>
          <w:b w:val="0"/>
          <w:i w:val="0"/>
          <w:sz w:val="24"/>
        </w:rPr>
        <w:t xml:space="preserve">5) repetir o experimento em um segundo modelo, verificando se a ordenação entre </w:t>
      </w:r>
      <w:r>
        <w:rPr>
          <w:rFonts w:ascii="Times New Roman" w:hAnsi="Times New Roman" w:cs="Times New Roman"/>
          <w:b w:val="0"/>
          <w:i/>
          <w:sz w:val="24"/>
        </w:rPr>
        <w:t>harnesses</w:t>
      </w:r>
      <w:r>
        <w:rPr>
          <w:rFonts w:ascii="Times New Roman" w:hAnsi="Times New Roman" w:cs="Times New Roman"/>
          <w:b w:val="0"/>
          <w:i w:val="0"/>
          <w:sz w:val="24"/>
        </w:rPr>
        <w:t xml:space="preserve"> se mantém ou se inverte;</w:t>
      </w:r>
    </w:p>
    <w:p>
      <w:pPr>
        <w:spacing w:line="360" w:lineRule="auto" w:before="0" w:after="0"/>
        <w:ind w:left="709" w:firstLine="0"/>
        <w:jc w:val="both"/>
      </w:pPr>
      <w:r>
        <w:rPr>
          <w:rFonts w:ascii="Times New Roman" w:hAnsi="Times New Roman" w:cs="Times New Roman"/>
          <w:b w:val="0"/>
          <w:i w:val="0"/>
          <w:sz w:val="24"/>
        </w:rPr>
        <w:t xml:space="preserve">6) quantificar a divergência entre o custo relatado por cada </w:t>
      </w:r>
      <w:r>
        <w:rPr>
          <w:rFonts w:ascii="Times New Roman" w:hAnsi="Times New Roman" w:cs="Times New Roman"/>
          <w:b w:val="0"/>
          <w:i/>
          <w:sz w:val="24"/>
        </w:rPr>
        <w:t xml:space="preserve">harness</w:t>
      </w:r>
      <w:r>
        <w:rPr>
          <w:rFonts w:ascii="Times New Roman" w:hAnsi="Times New Roman" w:cs="Times New Roman"/>
          <w:b w:val="0"/>
          <w:i w:val="0"/>
          <w:sz w:val="24"/>
        </w:rPr>
        <w:t xml:space="preserve"> e o custo efetivamente medido no instrumento externo, que é o que o desenvolvedor paga;</w:t>
      </w:r>
    </w:p>
    <w:p>
      <w:pPr>
        <w:spacing w:line="360" w:lineRule="auto" w:before="0" w:after="0"/>
        <w:ind w:left="709" w:firstLine="0"/>
        <w:jc w:val="both"/>
      </w:pPr>
      <w:r>
        <w:rPr>
          <w:rFonts w:ascii="Times New Roman" w:hAnsi="Times New Roman" w:cs="Times New Roman"/>
          <w:b w:val="0"/>
          <w:i w:val="0"/>
          <w:sz w:val="24"/>
        </w:rPr>
        <w:t xml:space="preserve">7) publicar o </w:t>
      </w:r>
      <w:r>
        <w:rPr>
          <w:rFonts w:ascii="Times New Roman" w:hAnsi="Times New Roman" w:cs="Times New Roman"/>
          <w:b w:val="0"/>
          <w:i/>
          <w:sz w:val="24"/>
        </w:rPr>
        <w:t xml:space="preserve">runner</w:t>
      </w:r>
      <w:r>
        <w:rPr>
          <w:rFonts w:ascii="Times New Roman" w:hAnsi="Times New Roman" w:cs="Times New Roman"/>
          <w:b w:val="0"/>
          <w:i w:val="0"/>
          <w:sz w:val="24"/>
        </w:rPr>
        <w:t xml:space="preserve">, os dados brutos e os scripts de análise, com um procedimento que o desenvolvedor reexecute na própria máquina a custo monetário zero.</w:t>
      </w:r>
    </w:p>
    <w:p>
      <w:pPr>
        <w:spacing w:line="360" w:lineRule="auto" w:before="120" w:after="0"/>
        <w:ind w:firstLine="0"/>
      </w:pPr>
      <w:r>
        <w:rPr>
          <w:rFonts w:ascii="Times New Roman" w:hAnsi="Times New Roman" w:cs="Times New Roman"/>
          <w:b/>
          <w:i w:val="0"/>
          <w:sz w:val="24"/>
        </w:rPr>
        <w:t>Metodologia</w:t>
      </w:r>
    </w:p>
    <w:p>
      <w:pPr>
        <w:spacing w:line="360" w:lineRule="auto" w:before="0" w:after="0"/>
        <w:ind w:firstLine="709"/>
        <w:jc w:val="both"/>
      </w:pPr>
      <w:r>
        <w:rPr>
          <w:rFonts w:ascii="Times New Roman" w:hAnsi="Times New Roman" w:cs="Times New Roman"/>
          <w:b w:val="0"/>
          <w:i w:val="0"/>
          <w:sz w:val="24"/>
        </w:rPr>
        <w:t xml:space="preserve">A pesquisa é aplicada, quali-quantitativa, exploratória e experimental, e o método é dedutivo, porque parte de hipóteses declaradas e as submete a teste. Os dados são coletados por um instrumento próprio, um proxy reverso interposto entre cada </w:t>
      </w:r>
      <w:r>
        <w:rPr>
          <w:rFonts w:ascii="Times New Roman" w:hAnsi="Times New Roman" w:cs="Times New Roman"/>
          <w:b w:val="0"/>
          <w:i/>
          <w:sz w:val="24"/>
        </w:rPr>
        <w:t xml:space="preserve">harness</w:t>
      </w:r>
      <w:r>
        <w:rPr>
          <w:rFonts w:ascii="Times New Roman" w:hAnsi="Times New Roman" w:cs="Times New Roman"/>
          <w:b w:val="0"/>
          <w:i w:val="0"/>
          <w:sz w:val="24"/>
        </w:rPr>
        <w:t xml:space="preserve"> e o modelo, que conta requisições, tokens e latência da mesma forma para todos os braços. Cada par de braço e tarefa é executado ao menos três vezes sobre uma suíte fixa do DeepSWE, e a comparação é feita por teste pareado sobre o Succ/Mtok de cada tarefa. Espera-se obter a diferença de custo por tarefa concluída e de taxa de sucesso atribuível ao </w:t>
      </w:r>
      <w:r>
        <w:rPr>
          <w:rFonts w:ascii="Times New Roman" w:hAnsi="Times New Roman" w:cs="Times New Roman"/>
          <w:b w:val="0"/>
          <w:i/>
          <w:sz w:val="24"/>
        </w:rPr>
        <w:t xml:space="preserve">harness</w:t>
      </w:r>
      <w:r>
        <w:rPr>
          <w:rFonts w:ascii="Times New Roman" w:hAnsi="Times New Roman" w:cs="Times New Roman"/>
          <w:b w:val="0"/>
          <w:i w:val="0"/>
          <w:sz w:val="24"/>
        </w:rPr>
        <w:t xml:space="preserve">, em forma utilizável por quem escolhe a ferramenta. A seção 3 detalha material, método e tratamento estatístico.</w:t>
      </w:r>
    </w:p>
    <w:p>
      <w:pPr>
        <w:spacing w:line="360" w:lineRule="auto" w:before="120" w:after="0"/>
        <w:ind w:firstLine="0"/>
      </w:pPr>
      <w:r>
        <w:rPr>
          <w:rFonts w:ascii="Times New Roman" w:hAnsi="Times New Roman" w:cs="Times New Roman"/>
          <w:b/>
          <w:i w:val="0"/>
          <w:sz w:val="24"/>
        </w:rPr>
        <w:t>Hipótese</w:t>
      </w:r>
    </w:p>
    <w:p>
      <w:pPr>
        <w:spacing w:line="360" w:lineRule="auto" w:before="0" w:after="0"/>
        <w:ind w:firstLine="709"/>
        <w:jc w:val="both"/>
      </w:pPr>
      <w:r>
        <w:rPr>
          <w:rFonts w:ascii="Times New Roman" w:hAnsi="Times New Roman" w:cs="Times New Roman"/>
          <w:b w:val="0"/>
          <w:i w:val="0"/>
          <w:sz w:val="24"/>
        </w:rPr>
        <w:t xml:space="preserve">H1 — Entre </w:t>
      </w:r>
      <w:r>
        <w:rPr>
          <w:rFonts w:ascii="Times New Roman" w:hAnsi="Times New Roman" w:cs="Times New Roman"/>
          <w:b w:val="0"/>
          <w:i/>
          <w:sz w:val="24"/>
        </w:rPr>
        <w:t xml:space="preserve">harnesses</w:t>
      </w:r>
      <w:r>
        <w:rPr>
          <w:rFonts w:ascii="Times New Roman" w:hAnsi="Times New Roman" w:cs="Times New Roman"/>
          <w:b w:val="0"/>
          <w:i w:val="0"/>
          <w:sz w:val="24"/>
        </w:rPr>
        <w:t xml:space="preserve"> distintos executando o mesmo modelo, a diferença de custo por tarefa concluída é de ordem prática relevante para quem paga a conta, comparável à diferença obtida ao se trocar de modelo sob um </w:t>
      </w:r>
      <w:r>
        <w:rPr>
          <w:rFonts w:ascii="Times New Roman" w:hAnsi="Times New Roman" w:cs="Times New Roman"/>
          <w:b w:val="0"/>
          <w:i/>
          <w:sz w:val="24"/>
        </w:rPr>
        <w:t xml:space="preserve">harness</w:t>
      </w:r>
      <w:r>
        <w:rPr>
          <w:rFonts w:ascii="Times New Roman" w:hAnsi="Times New Roman" w:cs="Times New Roman"/>
          <w:b w:val="0"/>
          <w:i w:val="0"/>
          <w:sz w:val="24"/>
        </w:rPr>
        <w:t xml:space="preserve"> fixo. H1 é refutada se os intervalos de Succ/Mtok dos braços se sobrepuserem ao longo de toda a suíte.</w:t>
      </w:r>
    </w:p>
    <w:p>
      <w:pPr>
        <w:spacing w:line="360" w:lineRule="auto" w:before="0" w:after="0"/>
        <w:ind w:firstLine="709"/>
        <w:jc w:val="both"/>
      </w:pPr>
      <w:r>
        <w:rPr>
          <w:rFonts w:ascii="Times New Roman" w:hAnsi="Times New Roman" w:cs="Times New Roman"/>
          <w:b w:val="0"/>
          <w:i w:val="0"/>
          <w:sz w:val="24"/>
        </w:rPr>
        <w:t xml:space="preserve">H2 — Essa diferença persiste entre um </w:t>
      </w:r>
      <w:r>
        <w:rPr>
          <w:rFonts w:ascii="Times New Roman" w:hAnsi="Times New Roman" w:cs="Times New Roman"/>
          <w:b w:val="0"/>
          <w:i/>
          <w:sz w:val="24"/>
        </w:rPr>
        <w:t xml:space="preserve">harness</w:t>
      </w:r>
      <w:r>
        <w:rPr>
          <w:rFonts w:ascii="Times New Roman" w:hAnsi="Times New Roman" w:cs="Times New Roman"/>
          <w:b w:val="0"/>
          <w:i w:val="0"/>
          <w:sz w:val="24"/>
        </w:rPr>
        <w:t xml:space="preserve"> e um </w:t>
      </w:r>
      <w:r>
        <w:rPr>
          <w:rFonts w:ascii="Times New Roman" w:hAnsi="Times New Roman" w:cs="Times New Roman"/>
          <w:b w:val="0"/>
          <w:i/>
          <w:sz w:val="24"/>
        </w:rPr>
        <w:t xml:space="preserve">fork</w:t>
      </w:r>
      <w:r>
        <w:rPr>
          <w:rFonts w:ascii="Times New Roman" w:hAnsi="Times New Roman" w:cs="Times New Roman"/>
          <w:b w:val="0"/>
          <w:i w:val="0"/>
          <w:sz w:val="24"/>
        </w:rPr>
        <w:t xml:space="preserve"> direto dele, o que indicaria que ela é produzida por decisões de projeto isoláveis (prompt de sistema, número e tamanho dos esquemas de ferramenta, política de compactação de contexto), e não pela qualidade geral da ferramenta nem pelo acúmulo de diferenças entre bases de código independentes. H2 é refutada se pi e oh-my-pi não diferirem significativamente em Succ/Mtok, apesar dos 11,4x de diferença na carga da primeira requisição medidos neste projeto. Esse desfecho é possível e seria, ele próprio, um achado a reportar. Uma carga 11,4x maior não implica resultado pior, pois o oh-my-pi pode recuperar o custo concluindo a tarefa em menos passos.</w:t>
      </w:r>
    </w:p>
    <w:p>
      <w:pPr>
        <w:spacing w:line="360" w:lineRule="auto" w:before="0" w:after="0"/>
        <w:ind w:firstLine="709"/>
        <w:jc w:val="both"/>
      </w:pPr>
      <w:r>
        <w:rPr>
          <w:rFonts w:ascii="Times New Roman" w:hAnsi="Times New Roman" w:cs="Times New Roman"/>
          <w:b w:val="0"/>
          <w:i w:val="0"/>
          <w:sz w:val="24"/>
        </w:rPr>
        <w:t xml:space="preserve">Este trabalho segue as normas do curso (IFMT, 2022) e as da ABNT (2023, 2025a, 2025b), e está organizado em três seções. Esta introdução apresenta a justificativa, o tema, o problema, os objetivos, a metodologia e as hipóteses. A seção 2 posiciona o trabalho na literatura e delimita as pendências que ele se propõe a resolver, e a seção 3 reúne as referências.</w:t>
      </w:r>
    </w:p>
    <w:p>
      <w:pPr>
        <w:keepNext/>
        <w:spacing w:line="360" w:lineRule="auto" w:before="240" w:after="120"/>
        <w:ind w:firstLine="0"/>
      </w:pPr>
      <w:r>
        <w:rPr>
          <w:rFonts w:ascii="Times New Roman" w:hAnsi="Times New Roman" w:cs="Times New Roman"/>
          <w:b/>
          <w:i w:val="0"/>
          <w:sz w:val="28"/>
        </w:rPr>
        <w:t>2 REFERENCIAL TEÓRICO</w:t>
      </w:r>
    </w:p>
    <w:p>
      <w:pPr>
        <w:spacing w:line="360" w:lineRule="auto" w:before="0" w:after="0"/>
        <w:ind w:firstLine="709"/>
        <w:jc w:val="both"/>
      </w:pPr>
      <w:r>
        <w:rPr>
          <w:rFonts w:ascii="Times New Roman" w:hAnsi="Times New Roman" w:cs="Times New Roman"/>
          <w:b w:val="0"/>
          <w:i w:val="0"/>
          <w:sz w:val="24"/>
        </w:rPr>
        <w:t xml:space="preserve">Segundo Ning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(2026, §2, tradução nossa), um </w:t>
      </w:r>
      <w:r>
        <w:rPr>
          <w:rFonts w:ascii="Times New Roman" w:hAnsi="Times New Roman" w:cs="Times New Roman"/>
          <w:b w:val="0"/>
          <w:i/>
          <w:sz w:val="24"/>
        </w:rPr>
        <w:t xml:space="preserve">harness</w:t>
      </w:r>
      <w:r>
        <w:rPr>
          <w:rFonts w:ascii="Times New Roman" w:hAnsi="Times New Roman" w:cs="Times New Roman"/>
          <w:b w:val="0"/>
          <w:i w:val="0"/>
          <w:sz w:val="24"/>
        </w:rPr>
        <w:t xml:space="preserve"> “converte um modelo de linguagem sem estado em um agente funcional ao ancorar suas saídas em execução externa, estado persistente e realimentação verificável”. Wang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(2026) descrevem a mesma camada pelo que ela faz: monta os prompts, gerencia o estado, invoca as ferramentas e coordena o laço. É ela que muda quando o desenvolvedor troca de ferramenta e mantém o modelo, e os braços vão de um laço ReAct mínimo (Yao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2022) a implementações com planejamento, compactação e subagentes. Lin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(2026) delimitam o que, exatamente, essa camada contém:</w:t>
      </w:r>
    </w:p>
    <w:p>
      <w:pPr>
        <w:spacing w:line="240" w:lineRule="auto" w:before="240" w:after="240"/>
        <w:ind w:left="2268" w:firstLine="0"/>
        <w:jc w:val="both"/>
      </w:pPr>
      <w:r>
        <w:rPr>
          <w:rFonts w:ascii="Times New Roman" w:hAnsi="Times New Roman" w:cs="Times New Roman"/>
          <w:b w:val="0"/>
          <w:i w:val="0"/>
          <w:sz w:val="20"/>
        </w:rPr>
        <w:t xml:space="preserve">Na prática, esse progresso depende não apenas do modelo de linguagem subjacente, mas igualmente dos componentes de engenharia que o cercam: o prompt de sistema que molda o estilo de trabalho, as ferramentas que expõem o sistema de arquivos e o shell, e o middleware que controla contexto, execução e recuperação. Esse conjunto de componentes externos ao modelo e editáveis é chamado coletivamente de harness do agente. (Lin </w:t>
      </w:r>
      <w:r>
        <w:rPr>
          <w:rFonts w:ascii="Times New Roman" w:hAnsi="Times New Roman" w:cs="Times New Roman"/>
          <w:b w:val="0"/>
          <w:i/>
          <w:sz w:val="20"/>
        </w:rPr>
        <w:t xml:space="preserve">et al.</w:t>
      </w:r>
      <w:r>
        <w:rPr>
          <w:rFonts w:ascii="Times New Roman" w:hAnsi="Times New Roman" w:cs="Times New Roman"/>
          <w:b w:val="0"/>
          <w:i w:val="0"/>
          <w:sz w:val="20"/>
        </w:rPr>
        <w:t xml:space="preserve">, 2026, §1, tradução nossa).</w:t>
      </w:r>
    </w:p>
    <w:p>
      <w:pPr>
        <w:spacing w:line="360" w:lineRule="auto" w:before="0" w:after="0"/>
        <w:ind w:firstLine="709"/>
        <w:jc w:val="both"/>
      </w:pPr>
      <w:r>
        <w:rPr>
          <w:rFonts w:ascii="Times New Roman" w:hAnsi="Times New Roman" w:cs="Times New Roman"/>
          <w:b w:val="0"/>
          <w:i w:val="0"/>
          <w:sz w:val="24"/>
        </w:rPr>
        <w:t xml:space="preserve">É esse conjunto, e apenas ele, que varia entre os braços deste experimento, com o modelo mantido fixo.</w:t>
      </w:r>
    </w:p>
    <w:p>
      <w:pPr>
        <w:spacing w:line="360" w:lineRule="auto" w:before="0" w:after="0"/>
        <w:ind w:firstLine="709"/>
        <w:jc w:val="both"/>
      </w:pPr>
      <w:r>
        <w:rPr>
          <w:rFonts w:ascii="Times New Roman" w:hAnsi="Times New Roman" w:cs="Times New Roman"/>
          <w:b w:val="0"/>
          <w:i w:val="0"/>
          <w:sz w:val="24"/>
        </w:rPr>
        <w:t xml:space="preserve">A interface entre modelo e ambiente é objeto de projeto desde Yang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(2024). Que o </w:t>
      </w:r>
      <w:r>
        <w:rPr>
          <w:rFonts w:ascii="Times New Roman" w:hAnsi="Times New Roman" w:cs="Times New Roman"/>
          <w:b w:val="0"/>
          <w:i/>
          <w:sz w:val="24"/>
        </w:rPr>
        <w:t xml:space="preserve">harness</w:t>
      </w:r>
      <w:r>
        <w:rPr>
          <w:rFonts w:ascii="Times New Roman" w:hAnsi="Times New Roman" w:cs="Times New Roman"/>
          <w:b w:val="0"/>
          <w:i w:val="0"/>
          <w:sz w:val="24"/>
        </w:rPr>
        <w:t xml:space="preserve"> importa já está estabelecido: Lin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(2026) medem 24,7 pontos percentuais de dispersão entre </w:t>
      </w:r>
      <w:r>
        <w:rPr>
          <w:rFonts w:ascii="Times New Roman" w:hAnsi="Times New Roman" w:cs="Times New Roman"/>
          <w:b w:val="0"/>
          <w:i/>
          <w:sz w:val="24"/>
        </w:rPr>
        <w:t xml:space="preserve">harnesses</w:t>
      </w:r>
      <w:r>
        <w:rPr>
          <w:rFonts w:ascii="Times New Roman" w:hAnsi="Times New Roman" w:cs="Times New Roman"/>
          <w:b w:val="0"/>
          <w:i w:val="0"/>
          <w:sz w:val="24"/>
        </w:rPr>
        <w:t xml:space="preserve"> humanos sobre um modelo congelado, e Zhang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(2026) enunciam a </w:t>
      </w:r>
      <w:r>
        <w:rPr>
          <w:rFonts w:ascii="Times New Roman" w:hAnsi="Times New Roman" w:cs="Times New Roman"/>
          <w:b w:val="0"/>
          <w:i/>
          <w:sz w:val="24"/>
        </w:rPr>
        <w:t xml:space="preserve">Binding Constraint Thesis</w:t>
      </w:r>
      <w:r>
        <w:rPr>
          <w:rFonts w:ascii="Times New Roman" w:hAnsi="Times New Roman" w:cs="Times New Roman"/>
          <w:b w:val="0"/>
          <w:i w:val="0"/>
          <w:sz w:val="24"/>
        </w:rPr>
        <w:t xml:space="preserve">, segundo a qual o </w:t>
      </w:r>
      <w:r>
        <w:rPr>
          <w:rFonts w:ascii="Times New Roman" w:hAnsi="Times New Roman" w:cs="Times New Roman"/>
          <w:b w:val="0"/>
          <w:i/>
          <w:sz w:val="24"/>
        </w:rPr>
        <w:t xml:space="preserve">harness</w:t>
      </w:r>
      <w:r>
        <w:rPr>
          <w:rFonts w:ascii="Times New Roman" w:hAnsi="Times New Roman" w:cs="Times New Roman"/>
          <w:b w:val="0"/>
          <w:i w:val="0"/>
          <w:sz w:val="24"/>
        </w:rPr>
        <w:t xml:space="preserve"> determina o desempenho mais que o modelo que encapsula. Em Alier Forment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(2026), os dois </w:t>
      </w:r>
      <w:r>
        <w:rPr>
          <w:rFonts w:ascii="Times New Roman" w:hAnsi="Times New Roman" w:cs="Times New Roman"/>
          <w:b w:val="0"/>
          <w:i/>
          <w:sz w:val="24"/>
        </w:rPr>
        <w:t xml:space="preserve">scaffoldings</w:t>
      </w:r>
      <w:r>
        <w:rPr>
          <w:rFonts w:ascii="Times New Roman" w:hAnsi="Times New Roman" w:cs="Times New Roman"/>
          <w:b w:val="0"/>
          <w:i w:val="0"/>
          <w:sz w:val="24"/>
        </w:rPr>
        <w:t xml:space="preserve"> sem suporte a MCP saíram de 5,0x a 28x mais baratos que os cinco que o suportam. Somam-se três fontes não revisadas por pares: o HarnessRank (2026), o FrontierHarness (Runta, 2026) e o estudo da Databricks, que registra custo por tarefa variando mais de 2x sem mudança de qualidade (Databricks, 2026 </w:t>
      </w:r>
      <w:r>
        <w:rPr>
          <w:rFonts w:ascii="Times New Roman" w:hAnsi="Times New Roman" w:cs="Times New Roman"/>
          <w:b w:val="0"/>
          <w:i/>
          <w:sz w:val="24"/>
        </w:rPr>
        <w:t xml:space="preserve">apud</w:t>
      </w:r>
      <w:r>
        <w:rPr>
          <w:rFonts w:ascii="Times New Roman" w:hAnsi="Times New Roman" w:cs="Times New Roman"/>
          <w:b w:val="0"/>
          <w:i w:val="0"/>
          <w:sz w:val="24"/>
        </w:rPr>
        <w:t xml:space="preserve"> Earendil, 2026).</w:t>
      </w:r>
    </w:p>
    <w:p>
      <w:pPr>
        <w:spacing w:line="360" w:lineRule="auto" w:before="0" w:after="0"/>
        <w:ind w:firstLine="709"/>
        <w:jc w:val="both"/>
      </w:pPr>
      <w:r>
        <w:rPr>
          <w:rFonts w:ascii="Times New Roman" w:hAnsi="Times New Roman" w:cs="Times New Roman"/>
          <w:b w:val="0"/>
          <w:i w:val="0"/>
          <w:sz w:val="24"/>
        </w:rPr>
        <w:t xml:space="preserve">A primeira pendência é de atribuição. Toda comparação publicada contrasta </w:t>
      </w:r>
      <w:r>
        <w:rPr>
          <w:rFonts w:ascii="Times New Roman" w:hAnsi="Times New Roman" w:cs="Times New Roman"/>
          <w:b w:val="0"/>
          <w:i/>
          <w:sz w:val="24"/>
        </w:rPr>
        <w:t xml:space="preserve">harnesses</w:t>
      </w:r>
      <w:r>
        <w:rPr>
          <w:rFonts w:ascii="Times New Roman" w:hAnsi="Times New Roman" w:cs="Times New Roman"/>
          <w:b w:val="0"/>
          <w:i w:val="0"/>
          <w:sz w:val="24"/>
        </w:rPr>
        <w:t xml:space="preserve"> de equipes diferentes sobre fundações diferentes, e a dispersão medida agrega prompt, ferramentas, gestão de contexto e desenho do laço sem separá-los: o desenvolvedor sabe qual ferramenta ganhou, não o que a fez ganhar. Ning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(2026) nomeiam a lacuna em §5.2.1 e pedem, em §5.2.7, “métricas que isolem componentes do </w:t>
      </w:r>
      <w:r>
        <w:rPr>
          <w:rFonts w:ascii="Times New Roman" w:hAnsi="Times New Roman" w:cs="Times New Roman"/>
          <w:b w:val="0"/>
          <w:i/>
          <w:sz w:val="24"/>
        </w:rPr>
        <w:t xml:space="preserve">harness</w:t>
      </w:r>
      <w:r>
        <w:rPr>
          <w:rFonts w:ascii="Times New Roman" w:hAnsi="Times New Roman" w:cs="Times New Roman"/>
          <w:b w:val="0"/>
          <w:i w:val="0"/>
          <w:sz w:val="24"/>
        </w:rPr>
        <w:t xml:space="preserve">” (Ning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2026, tradução nossa). Essas decisões são isoláveis: Lee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(2026) otimizam o código do </w:t>
      </w:r>
      <w:r>
        <w:rPr>
          <w:rFonts w:ascii="Times New Roman" w:hAnsi="Times New Roman" w:cs="Times New Roman"/>
          <w:b w:val="0"/>
          <w:i/>
          <w:sz w:val="24"/>
        </w:rPr>
        <w:t xml:space="preserve">harness</w:t>
      </w:r>
      <w:r>
        <w:rPr>
          <w:rFonts w:ascii="Times New Roman" w:hAnsi="Times New Roman" w:cs="Times New Roman"/>
          <w:b w:val="0"/>
          <w:i w:val="0"/>
          <w:sz w:val="24"/>
        </w:rPr>
        <w:t xml:space="preserve"> e ganham 7,7 pontos usando 4x menos tokens de contexto. O par pi / oh-my-pi responde a §5.2.7 pelo lado do controle: um </w:t>
      </w:r>
      <w:r>
        <w:rPr>
          <w:rFonts w:ascii="Times New Roman" w:hAnsi="Times New Roman" w:cs="Times New Roman"/>
          <w:b w:val="0"/>
          <w:i/>
          <w:sz w:val="24"/>
        </w:rPr>
        <w:t xml:space="preserve">fork</w:t>
      </w:r>
      <w:r>
        <w:rPr>
          <w:rFonts w:ascii="Times New Roman" w:hAnsi="Times New Roman" w:cs="Times New Roman"/>
          <w:b w:val="0"/>
          <w:i w:val="0"/>
          <w:sz w:val="24"/>
        </w:rPr>
        <w:t xml:space="preserve"> direto mantém a linhagem fixa e faz variar apenas as modificações.</w:t>
      </w:r>
    </w:p>
    <w:p>
      <w:pPr>
        <w:spacing w:line="360" w:lineRule="auto" w:before="0" w:after="0"/>
        <w:ind w:firstLine="709"/>
        <w:jc w:val="both"/>
      </w:pPr>
      <w:r>
        <w:rPr>
          <w:rFonts w:ascii="Times New Roman" w:hAnsi="Times New Roman" w:cs="Times New Roman"/>
          <w:b w:val="0"/>
          <w:i w:val="0"/>
          <w:sz w:val="24"/>
        </w:rPr>
        <w:t xml:space="preserve">A segunda pendência é de instrumentação, e atinge o desenvolvedor diretamente: ele decide pelo relatório da própria ferramenta. O que um </w:t>
      </w:r>
      <w:r>
        <w:rPr>
          <w:rFonts w:ascii="Times New Roman" w:hAnsi="Times New Roman" w:cs="Times New Roman"/>
          <w:b w:val="0"/>
          <w:i/>
          <w:sz w:val="24"/>
        </w:rPr>
        <w:t xml:space="preserve">harness</w:t>
      </w:r>
      <w:r>
        <w:rPr>
          <w:rFonts w:ascii="Times New Roman" w:hAnsi="Times New Roman" w:cs="Times New Roman"/>
          <w:b w:val="0"/>
          <w:i w:val="0"/>
          <w:sz w:val="24"/>
        </w:rPr>
        <w:t xml:space="preserve"> relata sobre o próprio custo diverge do que ele gasta, e cada um omite um conjunto diferente de chamadas reais ao modelo. Kapoor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(2024) mostram que a avaliação de agentes ignora o custo e por isso erra sobre a origem dos ganhos, e Kapoor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(2025) registram que as avaliações raramente relatam custo e que comparações entre </w:t>
      </w:r>
      <w:r>
        <w:rPr>
          <w:rFonts w:ascii="Times New Roman" w:hAnsi="Times New Roman" w:cs="Times New Roman"/>
          <w:b w:val="0"/>
          <w:i/>
          <w:sz w:val="24"/>
        </w:rPr>
        <w:t xml:space="preserve">harnesses</w:t>
      </w:r>
      <w:r>
        <w:rPr>
          <w:rFonts w:ascii="Times New Roman" w:hAnsi="Times New Roman" w:cs="Times New Roman"/>
          <w:b w:val="0"/>
          <w:i w:val="0"/>
          <w:sz w:val="24"/>
        </w:rPr>
        <w:t xml:space="preserve"> são raras. Por isso a medição ocorre em proxy externo, e o objetivo (6) quantifica essa divergência.</w:t>
      </w:r>
    </w:p>
    <w:p>
      <w:pPr>
        <w:spacing w:line="360" w:lineRule="auto" w:before="0" w:after="0"/>
        <w:ind w:firstLine="709"/>
        <w:jc w:val="both"/>
      </w:pPr>
      <w:r>
        <w:rPr>
          <w:rFonts w:ascii="Times New Roman" w:hAnsi="Times New Roman" w:cs="Times New Roman"/>
          <w:b w:val="0"/>
          <w:i w:val="0"/>
          <w:sz w:val="24"/>
        </w:rPr>
        <w:t xml:space="preserve">A métrica primária é o Succ/Mtok (sucesso por milhão de tokens), de Lin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(2026), a razão que interessa a quem paga a conta. Sobre ela pesa uma ressalva permanente, a de que o efeito é específico do modelo e pode inverter de sinal. No </w:t>
      </w:r>
      <w:r>
        <w:rPr>
          <w:rFonts w:ascii="Times New Roman" w:hAnsi="Times New Roman" w:cs="Times New Roman"/>
          <w:b w:val="0"/>
          <w:i/>
          <w:sz w:val="24"/>
        </w:rPr>
        <w:t xml:space="preserve">Holistic Agent Leaderboard</w:t>
      </w:r>
      <w:r>
        <w:rPr>
          <w:rFonts w:ascii="Times New Roman" w:hAnsi="Times New Roman" w:cs="Times New Roman"/>
          <w:b w:val="0"/>
          <w:i w:val="0"/>
          <w:sz w:val="24"/>
        </w:rPr>
        <w:t xml:space="preserve">, os modelos da Anthropic vão melhor com o BrowserUse e os da OpenAI com o SeeAct sobre o mesmo </w:t>
      </w:r>
      <w:r>
        <w:rPr>
          <w:rFonts w:ascii="Times New Roman" w:hAnsi="Times New Roman" w:cs="Times New Roman"/>
          <w:b w:val="0"/>
          <w:i/>
          <w:sz w:val="24"/>
        </w:rPr>
        <w:t xml:space="preserve">benchmark</w:t>
      </w:r>
      <w:r>
        <w:rPr>
          <w:rFonts w:ascii="Times New Roman" w:hAnsi="Times New Roman" w:cs="Times New Roman"/>
          <w:b w:val="0"/>
          <w:i w:val="0"/>
          <w:sz w:val="24"/>
        </w:rPr>
        <w:t xml:space="preserve"> (Kapoor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2025), e o FrontierHarness registra aproveitamento de cache ponderado por tokens caindo a 25,0% contra uma mediana de 67,8% (Runta, 2026). Por isso o desenho carrega dois níveis, e as conclusões são enunciadas por nível.</w:t>
      </w:r>
    </w:p>
    <w:p>
      <w:pPr>
        <w:keepNext/>
        <w:spacing w:line="360" w:lineRule="auto" w:before="240" w:after="120"/>
        <w:ind w:firstLine="0"/>
      </w:pPr>
      <w:r>
        <w:rPr>
          <w:rFonts w:ascii="Times New Roman" w:hAnsi="Times New Roman" w:cs="Times New Roman"/>
          <w:b/>
          <w:i w:val="0"/>
          <w:sz w:val="28"/>
        </w:rPr>
        <w:t>3 REFERÊNCIAS</w:t>
      </w:r>
    </w:p>
    <w:p>
      <w:pPr>
        <w:spacing w:line="240" w:lineRule="auto" w:before="0" w:after="240"/>
        <w:ind w:firstLine="0"/>
        <w:jc w:val="left"/>
      </w:pPr>
      <w:r>
        <w:rPr>
          <w:rFonts w:ascii="Times New Roman" w:hAnsi="Times New Roman" w:cs="Times New Roman"/>
          <w:b w:val="0"/>
          <w:i w:val="0"/>
          <w:sz w:val="24"/>
        </w:rPr>
        <w:t xml:space="preserve">ALIER FORMENT, Marc; CASAÑ GUERRERO, María José; GARCÍA-PEÑALVO, Francisco José; PEREIRA, Juanan. </w:t>
      </w:r>
      <w:r>
        <w:rPr>
          <w:rFonts w:ascii="Times New Roman" w:hAnsi="Times New Roman" w:cs="Times New Roman"/>
          <w:b/>
          <w:i w:val="0"/>
          <w:sz w:val="24"/>
        </w:rPr>
        <w:t xml:space="preserve">The scaffolding matters more than the interface</w:t>
      </w:r>
      <w:r>
        <w:rPr>
          <w:rFonts w:ascii="Times New Roman" w:hAnsi="Times New Roman" w:cs="Times New Roman"/>
          <w:b w:val="0"/>
          <w:i w:val="0"/>
          <w:sz w:val="24"/>
        </w:rPr>
        <w:t xml:space="preserve">: a controlled comparison of MCP and CLI tool use across seven agent scaffoldings, five language models, and one software task. arXiv:2608.08654, 2026. </w:t>
      </w:r>
      <w:r>
        <w:rPr>
          <w:rFonts w:ascii="Times New Roman" w:hAnsi="Times New Roman" w:cs="Times New Roman"/>
          <w:b w:val="0"/>
          <w:i/>
          <w:sz w:val="24"/>
        </w:rPr>
        <w:t xml:space="preserve">Preprint</w:t>
      </w:r>
      <w:r>
        <w:rPr>
          <w:rFonts w:ascii="Times New Roman" w:hAnsi="Times New Roman" w:cs="Times New Roman"/>
          <w:b w:val="0"/>
          <w:i w:val="0"/>
          <w:sz w:val="24"/>
        </w:rPr>
        <w:t xml:space="preserve">, não revisado por pares. Disponível em: https://arxiv.org/abs/2608.08654. Acesso em: 9 set. 2026.</w:t>
      </w:r>
    </w:p>
    <w:p>
      <w:pPr>
        <w:spacing w:line="240" w:lineRule="auto" w:before="0" w:after="240"/>
        <w:ind w:firstLine="0"/>
        <w:jc w:val="left"/>
      </w:pPr>
      <w:r>
        <w:rPr>
          <w:rFonts w:ascii="Times New Roman" w:hAnsi="Times New Roman" w:cs="Times New Roman"/>
          <w:b w:val="0"/>
          <w:i w:val="0"/>
          <w:sz w:val="24"/>
        </w:rPr>
        <w:t xml:space="preserve">ASSOCIAÇÃO BRASILEIRA DE NORMAS TÉCNICAS. </w:t>
      </w:r>
      <w:r>
        <w:rPr>
          <w:rFonts w:ascii="Times New Roman" w:hAnsi="Times New Roman" w:cs="Times New Roman"/>
          <w:b/>
          <w:i w:val="0"/>
          <w:sz w:val="24"/>
        </w:rPr>
        <w:t xml:space="preserve">ABNT NBR 6023</w:t>
      </w:r>
      <w:r>
        <w:rPr>
          <w:rFonts w:ascii="Times New Roman" w:hAnsi="Times New Roman" w:cs="Times New Roman"/>
          <w:b w:val="0"/>
          <w:i w:val="0"/>
          <w:sz w:val="24"/>
        </w:rPr>
        <w:t xml:space="preserve">: informação e documentação: referências: elaboração. Rio de Janeiro: ABNT, 2025a.</w:t>
      </w:r>
    </w:p>
    <w:p>
      <w:pPr>
        <w:spacing w:line="240" w:lineRule="auto" w:before="0" w:after="240"/>
        <w:ind w:firstLine="0"/>
        <w:jc w:val="left"/>
      </w:pPr>
      <w:r>
        <w:rPr>
          <w:rFonts w:ascii="Times New Roman" w:hAnsi="Times New Roman" w:cs="Times New Roman"/>
          <w:b w:val="0"/>
          <w:i w:val="0"/>
          <w:sz w:val="24"/>
        </w:rPr>
        <w:t xml:space="preserve">ASSOCIAÇÃO BRASILEIRA DE NORMAS TÉCNICAS. </w:t>
      </w:r>
      <w:r>
        <w:rPr>
          <w:rFonts w:ascii="Times New Roman" w:hAnsi="Times New Roman" w:cs="Times New Roman"/>
          <w:b/>
          <w:i w:val="0"/>
          <w:sz w:val="24"/>
        </w:rPr>
        <w:t xml:space="preserve">ABNT NBR 10520</w:t>
      </w:r>
      <w:r>
        <w:rPr>
          <w:rFonts w:ascii="Times New Roman" w:hAnsi="Times New Roman" w:cs="Times New Roman"/>
          <w:b w:val="0"/>
          <w:i w:val="0"/>
          <w:sz w:val="24"/>
        </w:rPr>
        <w:t xml:space="preserve">: informação e documentação: citações em documentos: apresentação. Rio de Janeiro: ABNT, 2023.</w:t>
      </w:r>
    </w:p>
    <w:p>
      <w:pPr>
        <w:spacing w:line="240" w:lineRule="auto" w:before="0" w:after="240"/>
        <w:ind w:firstLine="0"/>
        <w:jc w:val="left"/>
      </w:pPr>
      <w:r>
        <w:rPr>
          <w:rFonts w:ascii="Times New Roman" w:hAnsi="Times New Roman" w:cs="Times New Roman"/>
          <w:b w:val="0"/>
          <w:i w:val="0"/>
          <w:sz w:val="24"/>
        </w:rPr>
        <w:t xml:space="preserve">ASSOCIAÇÃO BRASILEIRA DE NORMAS TÉCNICAS. </w:t>
      </w:r>
      <w:r>
        <w:rPr>
          <w:rFonts w:ascii="Times New Roman" w:hAnsi="Times New Roman" w:cs="Times New Roman"/>
          <w:b/>
          <w:i w:val="0"/>
          <w:sz w:val="24"/>
        </w:rPr>
        <w:t xml:space="preserve">ABNT NBR 15287</w:t>
      </w:r>
      <w:r>
        <w:rPr>
          <w:rFonts w:ascii="Times New Roman" w:hAnsi="Times New Roman" w:cs="Times New Roman"/>
          <w:b w:val="0"/>
          <w:i w:val="0"/>
          <w:sz w:val="24"/>
        </w:rPr>
        <w:t xml:space="preserve">: informação e documentação: projeto de pesquisa: apresentação. Rio de Janeiro: ABNT, 2025b.</w:t>
      </w:r>
    </w:p>
    <w:p>
      <w:pPr>
        <w:spacing w:line="240" w:lineRule="auto" w:before="0" w:after="240"/>
        <w:ind w:firstLine="0"/>
        <w:jc w:val="left"/>
      </w:pPr>
      <w:r>
        <w:rPr>
          <w:rFonts w:ascii="Times New Roman" w:hAnsi="Times New Roman" w:cs="Times New Roman"/>
          <w:b w:val="0"/>
          <w:i w:val="0"/>
          <w:sz w:val="24"/>
        </w:rPr>
        <w:t xml:space="preserve">EARENDIL. </w:t>
      </w:r>
      <w:r>
        <w:rPr>
          <w:rFonts w:ascii="Times New Roman" w:hAnsi="Times New Roman" w:cs="Times New Roman"/>
          <w:b/>
          <w:i w:val="0"/>
          <w:sz w:val="24"/>
        </w:rPr>
        <w:t xml:space="preserve">Pi, minimal and performant</w:t>
      </w:r>
      <w:r>
        <w:rPr>
          <w:rFonts w:ascii="Times New Roman" w:hAnsi="Times New Roman" w:cs="Times New Roman"/>
          <w:b w:val="0"/>
          <w:i w:val="0"/>
          <w:sz w:val="24"/>
        </w:rPr>
        <w:t xml:space="preserve">. 2026. Publicação de blogue institucional. Disponível em: https://earendil.com/posts/pi-autoresearch-and-databricks/. Acesso em: 28 ago. 2026.</w:t>
      </w:r>
    </w:p>
    <w:p>
      <w:pPr>
        <w:spacing w:line="240" w:lineRule="auto" w:before="0" w:after="240"/>
        <w:ind w:firstLine="0"/>
        <w:jc w:val="left"/>
      </w:pPr>
      <w:r>
        <w:rPr>
          <w:rFonts w:ascii="Times New Roman" w:hAnsi="Times New Roman" w:cs="Times New Roman"/>
          <w:b w:val="0"/>
          <w:i w:val="0"/>
          <w:sz w:val="24"/>
        </w:rPr>
        <w:t xml:space="preserve">HARNESSRANK. </w:t>
      </w:r>
      <w:r>
        <w:rPr>
          <w:rFonts w:ascii="Times New Roman" w:hAnsi="Times New Roman" w:cs="Times New Roman"/>
          <w:b/>
          <w:i w:val="0"/>
          <w:sz w:val="24"/>
        </w:rPr>
        <w:t xml:space="preserve">HarnessRank</w:t>
      </w:r>
      <w:r>
        <w:rPr>
          <w:rFonts w:ascii="Times New Roman" w:hAnsi="Times New Roman" w:cs="Times New Roman"/>
          <w:b w:val="0"/>
          <w:i w:val="0"/>
          <w:sz w:val="24"/>
        </w:rPr>
        <w:t xml:space="preserve">: coding-agent harness rankings. 2026. Disponível em: https://harnessrank.net/. Acesso em: 28 ago. 2026.</w:t>
      </w:r>
    </w:p>
    <w:p>
      <w:pPr>
        <w:spacing w:line="240" w:lineRule="auto" w:before="0" w:after="240"/>
        <w:ind w:firstLine="0"/>
        <w:jc w:val="left"/>
      </w:pPr>
      <w:r>
        <w:rPr>
          <w:rFonts w:ascii="Times New Roman" w:hAnsi="Times New Roman" w:cs="Times New Roman"/>
          <w:b w:val="0"/>
          <w:i w:val="0"/>
          <w:sz w:val="24"/>
        </w:rPr>
        <w:t xml:space="preserve">INSTITUTO FEDERAL DE EDUCAÇÃO, CIÊNCIA E TECNOLOGIA DE MATO GROSSO. </w:t>
      </w:r>
      <w:r>
        <w:rPr>
          <w:rFonts w:ascii="Times New Roman" w:hAnsi="Times New Roman" w:cs="Times New Roman"/>
          <w:b/>
          <w:i w:val="0"/>
          <w:sz w:val="24"/>
        </w:rPr>
        <w:t xml:space="preserve">Normas básicas e padrões para a elaboração do Projeto de Conclusão de Curso (PCC)</w:t>
      </w:r>
      <w:r>
        <w:rPr>
          <w:rFonts w:ascii="Times New Roman" w:hAnsi="Times New Roman" w:cs="Times New Roman"/>
          <w:b w:val="0"/>
          <w:i w:val="0"/>
          <w:sz w:val="24"/>
        </w:rPr>
        <w:t xml:space="preserve">. Cuiabá: Campus Octayde Jorge da Silva, Departamento de Área de Informática, 2022.</w:t>
      </w:r>
    </w:p>
    <w:p>
      <w:pPr>
        <w:spacing w:line="240" w:lineRule="auto" w:before="0" w:after="240"/>
        <w:ind w:firstLine="0"/>
        <w:jc w:val="left"/>
      </w:pPr>
      <w:r>
        <w:rPr>
          <w:rFonts w:ascii="Times New Roman" w:hAnsi="Times New Roman" w:cs="Times New Roman"/>
          <w:b w:val="0"/>
          <w:i w:val="0"/>
          <w:sz w:val="24"/>
        </w:rPr>
        <w:t xml:space="preserve">KAPOOR, Sayash; STROEBL, Benedikt; SIEGEL, Zachary S.; NADGIR, Nitya; NARAYANAN, Arvind. </w:t>
      </w:r>
      <w:r>
        <w:rPr>
          <w:rFonts w:ascii="Times New Roman" w:hAnsi="Times New Roman" w:cs="Times New Roman"/>
          <w:b/>
          <w:i w:val="0"/>
          <w:sz w:val="24"/>
        </w:rPr>
        <w:t xml:space="preserve">AI agents that matter</w:t>
      </w:r>
      <w:r>
        <w:rPr>
          <w:rFonts w:ascii="Times New Roman" w:hAnsi="Times New Roman" w:cs="Times New Roman"/>
          <w:b w:val="0"/>
          <w:i w:val="0"/>
          <w:sz w:val="24"/>
        </w:rPr>
        <w:t xml:space="preserve">. arXiv:2407.01502, 2024. </w:t>
      </w:r>
      <w:r>
        <w:rPr>
          <w:rFonts w:ascii="Times New Roman" w:hAnsi="Times New Roman" w:cs="Times New Roman"/>
          <w:b w:val="0"/>
          <w:i/>
          <w:sz w:val="24"/>
        </w:rPr>
        <w:t xml:space="preserve">Preprint</w:t>
      </w:r>
      <w:r>
        <w:rPr>
          <w:rFonts w:ascii="Times New Roman" w:hAnsi="Times New Roman" w:cs="Times New Roman"/>
          <w:b w:val="0"/>
          <w:i w:val="0"/>
          <w:sz w:val="24"/>
        </w:rPr>
        <w:t xml:space="preserve">, não revisado por pares. Disponível em: https://arxiv.org/abs/2407.01502. Acesso em: 28 ago. 2026.</w:t>
      </w:r>
    </w:p>
    <w:p>
      <w:pPr>
        <w:spacing w:line="240" w:lineRule="auto" w:before="0" w:after="240"/>
        <w:ind w:firstLine="0"/>
        <w:jc w:val="left"/>
      </w:pPr>
      <w:r>
        <w:rPr>
          <w:rFonts w:ascii="Times New Roman" w:hAnsi="Times New Roman" w:cs="Times New Roman"/>
          <w:b w:val="0"/>
          <w:i w:val="0"/>
          <w:sz w:val="24"/>
        </w:rPr>
        <w:t xml:space="preserve">KAPOOR, Sayash </w:t>
      </w:r>
      <w:r>
        <w:rPr>
          <w:rFonts w:ascii="Times New Roman" w:hAnsi="Times New Roman" w:cs="Times New Roman"/>
          <w:b w:val="0"/>
          <w:i/>
          <w:sz w:val="24"/>
        </w:rPr>
        <w:t xml:space="preserve">et al.</w:t>
      </w:r>
      <w:r>
        <w:rPr>
          <w:rFonts w:ascii="Times New Roman" w:hAnsi="Times New Roman" w:cs="Times New Roman"/>
          <w:b w:val="0"/>
          <w:i w:val="0"/>
          <w:sz w:val="24"/>
        </w:rPr>
        <w:t xml:space="preserve"> </w:t>
      </w:r>
      <w:r>
        <w:rPr>
          <w:rFonts w:ascii="Times New Roman" w:hAnsi="Times New Roman" w:cs="Times New Roman"/>
          <w:b/>
          <w:i w:val="0"/>
          <w:sz w:val="24"/>
        </w:rPr>
        <w:t xml:space="preserve">Holistic Agent Leaderboard</w:t>
      </w:r>
      <w:r>
        <w:rPr>
          <w:rFonts w:ascii="Times New Roman" w:hAnsi="Times New Roman" w:cs="Times New Roman"/>
          <w:b w:val="0"/>
          <w:i w:val="0"/>
          <w:sz w:val="24"/>
        </w:rPr>
        <w:t xml:space="preserve">: the missing infrastructure for AI agent evaluation. arXiv:2510.11977, 2025. </w:t>
      </w:r>
      <w:r>
        <w:rPr>
          <w:rFonts w:ascii="Times New Roman" w:hAnsi="Times New Roman" w:cs="Times New Roman"/>
          <w:b w:val="0"/>
          <w:i/>
          <w:sz w:val="24"/>
        </w:rPr>
        <w:t xml:space="preserve">Preprint</w:t>
      </w:r>
      <w:r>
        <w:rPr>
          <w:rFonts w:ascii="Times New Roman" w:hAnsi="Times New Roman" w:cs="Times New Roman"/>
          <w:b w:val="0"/>
          <w:i w:val="0"/>
          <w:sz w:val="24"/>
        </w:rPr>
        <w:t xml:space="preserve">, não revisado por pares. Disponível em: https://arxiv.org/abs/2510.11977. Acesso em: 28 ago. 2026.</w:t>
      </w:r>
    </w:p>
    <w:p>
      <w:pPr>
        <w:spacing w:line="240" w:lineRule="auto" w:before="0" w:after="240"/>
        <w:ind w:firstLine="0"/>
        <w:jc w:val="left"/>
      </w:pPr>
      <w:r>
        <w:rPr>
          <w:rFonts w:ascii="Times New Roman" w:hAnsi="Times New Roman" w:cs="Times New Roman"/>
          <w:b w:val="0"/>
          <w:i w:val="0"/>
          <w:sz w:val="24"/>
        </w:rPr>
        <w:t xml:space="preserve">LEE, Yoonho; NAIR, Roshen; ZHANG, Qizheng; LEE, Kangwook; KHATTAB, Omar; FINN, Chelsea. </w:t>
      </w:r>
      <w:r>
        <w:rPr>
          <w:rFonts w:ascii="Times New Roman" w:hAnsi="Times New Roman" w:cs="Times New Roman"/>
          <w:b/>
          <w:i w:val="0"/>
          <w:sz w:val="24"/>
        </w:rPr>
        <w:t xml:space="preserve">Meta-Harness</w:t>
      </w:r>
      <w:r>
        <w:rPr>
          <w:rFonts w:ascii="Times New Roman" w:hAnsi="Times New Roman" w:cs="Times New Roman"/>
          <w:b w:val="0"/>
          <w:i w:val="0"/>
          <w:sz w:val="24"/>
        </w:rPr>
        <w:t xml:space="preserve">: end-to-end optimization of model harnesses. arXiv:2603.28052, 2026. </w:t>
      </w:r>
      <w:r>
        <w:rPr>
          <w:rFonts w:ascii="Times New Roman" w:hAnsi="Times New Roman" w:cs="Times New Roman"/>
          <w:b w:val="0"/>
          <w:i/>
          <w:sz w:val="24"/>
        </w:rPr>
        <w:t xml:space="preserve">Preprint</w:t>
      </w:r>
      <w:r>
        <w:rPr>
          <w:rFonts w:ascii="Times New Roman" w:hAnsi="Times New Roman" w:cs="Times New Roman"/>
          <w:b w:val="0"/>
          <w:i w:val="0"/>
          <w:sz w:val="24"/>
        </w:rPr>
        <w:t xml:space="preserve">, não revisado por pares. Disponível em: https://arxiv.org/abs/2603.28052. Acesso em: 9 set. 2026.</w:t>
      </w:r>
    </w:p>
    <w:p>
      <w:pPr>
        <w:spacing w:line="240" w:lineRule="auto" w:before="0" w:after="240"/>
        <w:ind w:firstLine="0"/>
        <w:jc w:val="left"/>
      </w:pPr>
      <w:r>
        <w:rPr>
          <w:rFonts w:ascii="Times New Roman" w:hAnsi="Times New Roman" w:cs="Times New Roman"/>
          <w:b w:val="0"/>
          <w:i w:val="0"/>
          <w:sz w:val="24"/>
        </w:rPr>
        <w:t xml:space="preserve">LIN, Jiahang; LIU, Shichun; PAN, Chengjun; LIN, Lizhi; DOU, Shihan; XI, Zhiheng; HUANG, Xuanjing; YAN, Hang; HAN, Zhenhua; GUI, Tao; JIANG, Yu-Gang. </w:t>
      </w:r>
      <w:r>
        <w:rPr>
          <w:rFonts w:ascii="Times New Roman" w:hAnsi="Times New Roman" w:cs="Times New Roman"/>
          <w:b/>
          <w:i w:val="0"/>
          <w:sz w:val="24"/>
        </w:rPr>
        <w:t xml:space="preserve">Agentic harness engineering</w:t>
      </w:r>
      <w:r>
        <w:rPr>
          <w:rFonts w:ascii="Times New Roman" w:hAnsi="Times New Roman" w:cs="Times New Roman"/>
          <w:b w:val="0"/>
          <w:i w:val="0"/>
          <w:sz w:val="24"/>
        </w:rPr>
        <w:t xml:space="preserve">: observability-driven automatic evolution of coding-agent harnesses. arXiv:2604.25850, 2026. </w:t>
      </w:r>
      <w:r>
        <w:rPr>
          <w:rFonts w:ascii="Times New Roman" w:hAnsi="Times New Roman" w:cs="Times New Roman"/>
          <w:b w:val="0"/>
          <w:i/>
          <w:sz w:val="24"/>
        </w:rPr>
        <w:t xml:space="preserve">Preprint</w:t>
      </w:r>
      <w:r>
        <w:rPr>
          <w:rFonts w:ascii="Times New Roman" w:hAnsi="Times New Roman" w:cs="Times New Roman"/>
          <w:b w:val="0"/>
          <w:i w:val="0"/>
          <w:sz w:val="24"/>
        </w:rPr>
        <w:t xml:space="preserve">, não revisado por pares. Disponível em: https://arxiv.org/abs/2604.25850. Acesso em: 28 ago. 2026.</w:t>
      </w:r>
    </w:p>
    <w:p>
      <w:pPr>
        <w:spacing w:line="240" w:lineRule="auto" w:before="0" w:after="240"/>
        <w:ind w:firstLine="0"/>
        <w:jc w:val="left"/>
      </w:pPr>
      <w:r>
        <w:rPr>
          <w:rFonts w:ascii="Times New Roman" w:hAnsi="Times New Roman" w:cs="Times New Roman"/>
          <w:b w:val="0"/>
          <w:i w:val="0"/>
          <w:sz w:val="24"/>
        </w:rPr>
        <w:t xml:space="preserve">NING, Xuying </w:t>
      </w:r>
      <w:r>
        <w:rPr>
          <w:rFonts w:ascii="Times New Roman" w:hAnsi="Times New Roman" w:cs="Times New Roman"/>
          <w:b w:val="0"/>
          <w:i/>
          <w:sz w:val="24"/>
        </w:rPr>
        <w:t xml:space="preserve">et al.</w:t>
      </w:r>
      <w:r>
        <w:rPr>
          <w:rFonts w:ascii="Times New Roman" w:hAnsi="Times New Roman" w:cs="Times New Roman"/>
          <w:b w:val="0"/>
          <w:i w:val="0"/>
          <w:sz w:val="24"/>
        </w:rPr>
        <w:t xml:space="preserve"> </w:t>
      </w:r>
      <w:r>
        <w:rPr>
          <w:rFonts w:ascii="Times New Roman" w:hAnsi="Times New Roman" w:cs="Times New Roman"/>
          <w:b/>
          <w:i w:val="0"/>
          <w:sz w:val="24"/>
        </w:rPr>
        <w:t xml:space="preserve">Code as agent harness</w:t>
      </w:r>
      <w:r>
        <w:rPr>
          <w:rFonts w:ascii="Times New Roman" w:hAnsi="Times New Roman" w:cs="Times New Roman"/>
          <w:b w:val="0"/>
          <w:i w:val="0"/>
          <w:sz w:val="24"/>
        </w:rPr>
        <w:t xml:space="preserve">. arXiv:2605.18747, 2026. </w:t>
      </w:r>
      <w:r>
        <w:rPr>
          <w:rFonts w:ascii="Times New Roman" w:hAnsi="Times New Roman" w:cs="Times New Roman"/>
          <w:b w:val="0"/>
          <w:i/>
          <w:sz w:val="24"/>
        </w:rPr>
        <w:t xml:space="preserve">Preprint</w:t>
      </w:r>
      <w:r>
        <w:rPr>
          <w:rFonts w:ascii="Times New Roman" w:hAnsi="Times New Roman" w:cs="Times New Roman"/>
          <w:b w:val="0"/>
          <w:i w:val="0"/>
          <w:sz w:val="24"/>
        </w:rPr>
        <w:t xml:space="preserve">, não revisado por pares. Disponível em: https://arxiv.org/abs/2605.18747. Acesso em: 28 ago. 2026.</w:t>
      </w:r>
    </w:p>
    <w:p>
      <w:pPr>
        <w:spacing w:line="240" w:lineRule="auto" w:before="0" w:after="240"/>
        <w:ind w:firstLine="0"/>
        <w:jc w:val="left"/>
      </w:pPr>
      <w:r>
        <w:rPr>
          <w:rFonts w:ascii="Times New Roman" w:hAnsi="Times New Roman" w:cs="Times New Roman"/>
          <w:b w:val="0"/>
          <w:i w:val="0"/>
          <w:sz w:val="24"/>
        </w:rPr>
        <w:t xml:space="preserve">RUNTA. </w:t>
      </w:r>
      <w:r>
        <w:rPr>
          <w:rFonts w:ascii="Times New Roman" w:hAnsi="Times New Roman" w:cs="Times New Roman"/>
          <w:b/>
          <w:i w:val="0"/>
          <w:sz w:val="24"/>
        </w:rPr>
        <w:t xml:space="preserve">Introducing the FrontierHarness eval</w:t>
      </w:r>
      <w:r>
        <w:rPr>
          <w:rFonts w:ascii="Times New Roman" w:hAnsi="Times New Roman" w:cs="Times New Roman"/>
          <w:b w:val="0"/>
          <w:i w:val="0"/>
          <w:sz w:val="24"/>
        </w:rPr>
        <w:t xml:space="preserve">. 2026. Publicação de blogue institucional. Disponível em: https://runta.com/blog/introducing-frontierharness-eval/. Acesso em: 9 set. 2026.</w:t>
      </w:r>
    </w:p>
    <w:p>
      <w:pPr>
        <w:spacing w:line="240" w:lineRule="auto" w:before="0" w:after="240"/>
        <w:ind w:firstLine="0"/>
        <w:jc w:val="left"/>
      </w:pPr>
      <w:r>
        <w:rPr>
          <w:rFonts w:ascii="Times New Roman" w:hAnsi="Times New Roman" w:cs="Times New Roman"/>
          <w:b w:val="0"/>
          <w:i w:val="0"/>
          <w:sz w:val="24"/>
        </w:rPr>
        <w:t xml:space="preserve">WANG, Ruhan </w:t>
      </w:r>
      <w:r>
        <w:rPr>
          <w:rFonts w:ascii="Times New Roman" w:hAnsi="Times New Roman" w:cs="Times New Roman"/>
          <w:b w:val="0"/>
          <w:i/>
          <w:sz w:val="24"/>
        </w:rPr>
        <w:t xml:space="preserve">et al.</w:t>
      </w:r>
      <w:r>
        <w:rPr>
          <w:rFonts w:ascii="Times New Roman" w:hAnsi="Times New Roman" w:cs="Times New Roman"/>
          <w:b w:val="0"/>
          <w:i w:val="0"/>
          <w:sz w:val="24"/>
        </w:rPr>
        <w:t xml:space="preserve"> </w:t>
      </w:r>
      <w:r>
        <w:rPr>
          <w:rFonts w:ascii="Times New Roman" w:hAnsi="Times New Roman" w:cs="Times New Roman"/>
          <w:b/>
          <w:i w:val="0"/>
          <w:sz w:val="24"/>
        </w:rPr>
        <w:t xml:space="preserve">Harness Handbook</w:t>
      </w:r>
      <w:r>
        <w:rPr>
          <w:rFonts w:ascii="Times New Roman" w:hAnsi="Times New Roman" w:cs="Times New Roman"/>
          <w:b w:val="0"/>
          <w:i w:val="0"/>
          <w:sz w:val="24"/>
        </w:rPr>
        <w:t xml:space="preserve">: making evolving agent harnesses readable, navigable, and editable. arXiv:2607.13285, 2026. </w:t>
      </w:r>
      <w:r>
        <w:rPr>
          <w:rFonts w:ascii="Times New Roman" w:hAnsi="Times New Roman" w:cs="Times New Roman"/>
          <w:b w:val="0"/>
          <w:i/>
          <w:sz w:val="24"/>
        </w:rPr>
        <w:t xml:space="preserve">Preprint</w:t>
      </w:r>
      <w:r>
        <w:rPr>
          <w:rFonts w:ascii="Times New Roman" w:hAnsi="Times New Roman" w:cs="Times New Roman"/>
          <w:b w:val="0"/>
          <w:i w:val="0"/>
          <w:sz w:val="24"/>
        </w:rPr>
        <w:t xml:space="preserve">, não revisado por pares. Disponível em: https://arxiv.org/abs/2607.13285. Acesso em: 9 set. 2026.</w:t>
      </w:r>
    </w:p>
    <w:p>
      <w:pPr>
        <w:spacing w:line="240" w:lineRule="auto" w:before="0" w:after="240"/>
        <w:ind w:firstLine="0"/>
        <w:jc w:val="left"/>
      </w:pPr>
      <w:r>
        <w:rPr>
          <w:rFonts w:ascii="Times New Roman" w:hAnsi="Times New Roman" w:cs="Times New Roman"/>
          <w:b w:val="0"/>
          <w:i w:val="0"/>
          <w:sz w:val="24"/>
        </w:rPr>
        <w:t xml:space="preserve">YANG, John; JIMENEZ, Carlos E.; WETTIG, Alexander; LIERET, Kilian; YAO, Shunyu; NARASIMHAN, Karthik; PRESS, Ofir. </w:t>
      </w:r>
      <w:r>
        <w:rPr>
          <w:rFonts w:ascii="Times New Roman" w:hAnsi="Times New Roman" w:cs="Times New Roman"/>
          <w:b/>
          <w:i w:val="0"/>
          <w:sz w:val="24"/>
        </w:rPr>
        <w:t xml:space="preserve">SWE-agent</w:t>
      </w:r>
      <w:r>
        <w:rPr>
          <w:rFonts w:ascii="Times New Roman" w:hAnsi="Times New Roman" w:cs="Times New Roman"/>
          <w:b w:val="0"/>
          <w:i w:val="0"/>
          <w:sz w:val="24"/>
        </w:rPr>
        <w:t xml:space="preserve">: agent-computer interfaces enable automated software engineering. arXiv:2405.15793, 2024. Trabalho apresentado na Conference on Neural Information Processing Systems (NeurIPS), 2024. Disponível em: https://arxiv.org/abs/2405.15793. Acesso em: 28 ago. 2026.</w:t>
      </w:r>
    </w:p>
    <w:p>
      <w:pPr>
        <w:spacing w:line="240" w:lineRule="auto" w:before="0" w:after="240"/>
        <w:ind w:firstLine="0"/>
        <w:jc w:val="left"/>
      </w:pPr>
      <w:r>
        <w:rPr>
          <w:rFonts w:ascii="Times New Roman" w:hAnsi="Times New Roman" w:cs="Times New Roman"/>
          <w:b w:val="0"/>
          <w:i w:val="0"/>
          <w:sz w:val="24"/>
        </w:rPr>
        <w:t xml:space="preserve">YAO, Shunyu; ZHAO, Jeffrey; YU, Dian; DU, Nan; SHAFRAN, Izhak; NARASIMHAN, Karthik; CAO, Yuan. </w:t>
      </w:r>
      <w:r>
        <w:rPr>
          <w:rFonts w:ascii="Times New Roman" w:hAnsi="Times New Roman" w:cs="Times New Roman"/>
          <w:b/>
          <w:i w:val="0"/>
          <w:sz w:val="24"/>
        </w:rPr>
        <w:t xml:space="preserve">ReAct</w:t>
      </w:r>
      <w:r>
        <w:rPr>
          <w:rFonts w:ascii="Times New Roman" w:hAnsi="Times New Roman" w:cs="Times New Roman"/>
          <w:b w:val="0"/>
          <w:i w:val="0"/>
          <w:sz w:val="24"/>
        </w:rPr>
        <w:t xml:space="preserve">: synergizing reasoning and acting in language models. arXiv:2210.03629, 2022. Trabalho apresentado na International Conference on Learning Representations (ICLR), 2023. Disponível em: https://arxiv.org/abs/2210.03629. Acesso em: 28 ago. 2026.</w:t>
      </w:r>
    </w:p>
    <w:p>
      <w:pPr>
        <w:spacing w:line="240" w:lineRule="auto" w:before="0" w:after="240"/>
        <w:ind w:firstLine="0"/>
        <w:jc w:val="left"/>
      </w:pPr>
      <w:r>
        <w:rPr>
          <w:rFonts w:ascii="Times New Roman" w:hAnsi="Times New Roman" w:cs="Times New Roman"/>
          <w:b w:val="0"/>
          <w:i w:val="0"/>
          <w:sz w:val="24"/>
        </w:rPr>
        <w:t xml:space="preserve">ZHANG, Yunbei; WANG, Janet; GE, Yingqiang; XU, Weijie; HAMM, Jihun; REDDY, Chandan K. </w:t>
      </w:r>
      <w:r>
        <w:rPr>
          <w:rFonts w:ascii="Times New Roman" w:hAnsi="Times New Roman" w:cs="Times New Roman"/>
          <w:b/>
          <w:i w:val="0"/>
          <w:sz w:val="24"/>
        </w:rPr>
        <w:t xml:space="preserve">Stop comparing LLM agents without disclosing the harness</w:t>
      </w:r>
      <w:r>
        <w:rPr>
          <w:rFonts w:ascii="Times New Roman" w:hAnsi="Times New Roman" w:cs="Times New Roman"/>
          <w:b w:val="0"/>
          <w:i w:val="0"/>
          <w:sz w:val="24"/>
        </w:rPr>
        <w:t xml:space="preserve">. arXiv:2605.23950, 2026. </w:t>
      </w:r>
      <w:r>
        <w:rPr>
          <w:rFonts w:ascii="Times New Roman" w:hAnsi="Times New Roman" w:cs="Times New Roman"/>
          <w:b w:val="0"/>
          <w:i/>
          <w:sz w:val="24"/>
        </w:rPr>
        <w:t xml:space="preserve">Preprint</w:t>
      </w:r>
      <w:r>
        <w:rPr>
          <w:rFonts w:ascii="Times New Roman" w:hAnsi="Times New Roman" w:cs="Times New Roman"/>
          <w:b w:val="0"/>
          <w:i w:val="0"/>
          <w:sz w:val="24"/>
        </w:rPr>
        <w:t xml:space="preserve">, não revisado por pares. Disponível em: https://arxiv.org/abs/2605.23950. Acesso em: 28 ago. 2026.</w:t>
      </w:r>
    </w:p>
    <w:sectPr w:rsidR="00FC693F" w:rsidRPr="0006063C" w:rsidSect="00034616">
      <w:headerReference w:type="default" ns2:id="rId9"/>
      <w:pgSz w:w="11906" w:h="16838"/>
      <w:pgMar w:top="1701" w:right="1134" w:bottom="1134"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2">
    <w:p>
      <!-- CT_PPrBase is an xsd:sequence: w:spacing (21) precedes w:jc (26).
           This part is hand-built, so python-docx's ordered inserters never run
           and a wrong order reaches Word as "unreadable content". -->
      <w:pPr>
        <w:spacing w:after="0" w:line="240" w:lineRule="auto"/>
        <w:jc w:val="both"/>
      </w:pPr>
      <w:r>
        <w:rPr>
          <w:rFonts w:ascii="Times New Roman" w:hAnsi="Times New Roman" w:cs="Times New Roman"/>
          <w:sz w:val="20"/>
          <w:vertAlign w:val="superscript"/>
        </w:rPr>
        <w:footnoteRef/>
      </w:r>
      <w:r>
        <w:rPr>
          <w:rFonts w:ascii="Times New Roman" w:hAnsi="Times New Roman" w:cs="Times New Roman"/>
          <w:sz w:val="20"/>
        </w:rPr>
        <w:t xml:space="preserve"> Os exemplos de referência do template departamental (Instituto Federal de Mato Grosso, 2022) precedem as edições vigentes da ABNT NBR 6023 e da ABNT NBR 10520, e o template diverge de si mesmo ao alternar entre “Acesso em:” e “Acessado em:” e ao envolver endereços eletrônicos em colchetes angulares. Onde há contradição interna, seguiu-se a edição vigente: ABNT NBR 6023:2025 na lista de referências, sem colchetes angulares e com “Acesso em:” em todas as entradas, e ABNT NBR 10520:2023 nas citações do corpo do texto, com o sobrenome em caixa-alta apenas na lista de referências.</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b w:val="0"/>
        <w:i w:val="0"/>
        <w:sz w:val="24"/>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