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INSTITUTO FEDERAL DE EDUCAÇÃO, CIÊNCIA E TECNOLOGIA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DE MATO GROSSO - CAMPUS OCTAYDE JORGE DA SILVA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DIRETORIA DE ENSINO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DEPARTAMENTO DE ÁREA DE INFORMÁTICA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FAUSTO YUUKI T.A FREIRE</w:t>
      </w:r>
      <w:r w:rsidDel="00000000" w:rsidR="00000000" w:rsidRPr="00000000">
        <w:rPr>
          <w:rtl w:val="0"/>
        </w:rPr>
      </w:r>
    </w:p>
    <w:p>
      <w:pPr>
        <w:spacing w:after="0" w:line="360" w:lineRule="auto"/>
        <w:jc w:val="center"/>
        <w:rPr/>
      </w:pPr>
      <w:r>
        <w:rPr>
          <w:b w:val="0"/>
          <w:i w:val="0"/>
          <w:bCs w:val="0"/>
          <w:iCs w:val="0"/>
          <w:sz w:val="32"/>
          <w:szCs w:val="32"/>
          <w:rtl w:val="0"/>
        </w:rPr>
        <w:t xml:space="preserve">O HARNESS NO CUSTO E NO DESEMPENHO DE AGENTES DE CODIFICAÇÃO: TOKENS E TAXA DE SUCESSO COM O MODELO FIXO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Cuiabá</w:t>
      </w:r>
    </w:p>
    <w:p w:rsidR="00000000" w:rsidDel="00000000" w:rsidP="00000000" w:rsidRDefault="00000000" w:rsidRPr="00000000" w14:paraId="00000014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Rule="auto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FAUSTO YUUKI T.A FREIRE</w:t>
      </w:r>
      <w:r w:rsidDel="00000000" w:rsidR="00000000" w:rsidRPr="00000000">
        <w:rPr>
          <w:rtl w:val="0"/>
        </w:rPr>
      </w:r>
    </w:p>
    <w:p>
      <w:pPr>
        <w:spacing w:after="0" w:line="360" w:lineRule="auto"/>
        <w:jc w:val="center"/>
        <w:rPr>
          <w:sz w:val="28"/>
          <w:szCs w:val="28"/>
        </w:rPr>
      </w:pPr>
      <w:r>
        <w:rPr>
          <w:b w:val="0"/>
          <w:i w:val="0"/>
          <w:bCs w:val="0"/>
          <w:iCs w:val="0"/>
          <w:sz w:val="32"/>
          <w:szCs w:val="32"/>
          <w:rtl w:val="0"/>
        </w:rPr>
        <w:t xml:space="preserve">O HARNESS NO CUSTO E NO DESEMPENHO DE AGENTES DE CODIFICAÇÃO: TOKENS E TAXA DE SUCESSO COM O MODELO FIXO</w:t>
      </w:r>
    </w:p>
    <w:p w:rsidR="00000000" w:rsidDel="00000000" w:rsidP="00000000" w:rsidRDefault="00000000" w:rsidRPr="00000000" w14:paraId="00000018">
      <w:pPr>
        <w:spacing w:after="0" w:line="240" w:lineRule="auto"/>
        <w:ind w:left="4535" w:firstLine="0"/>
        <w:jc w:val="both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Projeto de pesquisa apresentado ao Departamento de Área de Informática do Instituto Federal de Educação, Ciência e Tecnologia de Mato Grosso, Campus Octayde Jorge da Silva, na disciplina de Metodologia Científica do curso de Sistemas para Internet.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240" w:line="240" w:lineRule="auto"/>
        <w:ind w:left="4535" w:firstLine="0"/>
        <w:jc w:val="both"/>
        <w:rPr/>
      </w:pPr>
      <w:r w:rsidDel="00000000" w:rsidR="00000000" w:rsidRPr="00000000">
        <w:rPr>
          <w:rtl w:val="0"/>
        </w:rPr>
        <w:t xml:space="preserve">Orientadora: Profa. Inara Silva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Cuiabá</w:t>
      </w:r>
    </w:p>
    <w:p w:rsidR="00000000" w:rsidDel="00000000" w:rsidP="00000000" w:rsidRDefault="00000000" w:rsidRPr="00000000" w14:paraId="00000021">
      <w:pPr>
        <w:spacing w:after="0" w:line="240" w:lineRule="auto"/>
        <w:jc w:val="center"/>
        <w:rPr/>
      </w:pPr>
      <w:r w:rsidDel="00000000" w:rsidR="00000000" w:rsidRPr="00000000">
        <w:rPr>
          <w:rtl w:val="0"/>
        </w:rPr>
        <w:t xml:space="preserve">2026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480" w:lineRule="auto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SUMÁRIO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1 INTRODUÇÃO</w:t>
        <w:tab/>
        <w:t xml:space="preserve">1</w:t>
      </w:r>
    </w:p>
    <w:p w:rsidR="00000000" w:rsidDel="00000000" w:rsidP="00000000" w:rsidRDefault="00000000" w:rsidRPr="00000000" w14:paraId="00000025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2 REFERENCIAL TEÓRICO</w:t>
        <w:tab/>
        <w:t xml:space="preserve">2</w:t>
      </w:r>
    </w:p>
    <w:p w:rsidR="00000000" w:rsidDel="00000000" w:rsidP="00000000" w:rsidRDefault="00000000" w:rsidRPr="00000000" w14:paraId="00000026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3 MATERIAL E MÉTODO</w:t>
        <w:tab/>
        <w:t xml:space="preserve">3</w:t>
      </w:r>
    </w:p>
    <w:p w:rsidR="00000000" w:rsidDel="00000000" w:rsidP="00000000" w:rsidRDefault="00000000" w:rsidRPr="00000000" w14:paraId="00000027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4 ORÇAMENTO</w:t>
        <w:tab/>
        <w:t xml:space="preserve">5</w:t>
      </w:r>
    </w:p>
    <w:p w:rsidR="00000000" w:rsidDel="00000000" w:rsidP="00000000" w:rsidRDefault="00000000" w:rsidRPr="00000000" w14:paraId="00000028">
      <w:pPr>
        <w:tabs>
          <w:tab w:val="right" w:leader="none" w:pos="9071"/>
        </w:tabs>
        <w:spacing w:after="0" w:line="360" w:lineRule="auto"/>
        <w:rPr/>
      </w:pPr>
      <w:r w:rsidDel="00000000" w:rsidR="00000000" w:rsidRPr="00000000">
        <w:rPr>
          <w:rtl w:val="0"/>
        </w:rPr>
        <w:t xml:space="preserve">5 CRONOGRAMA</w:t>
        <w:tab/>
        <w:t xml:space="preserve">5</w:t>
      </w:r>
    </w:p>
    <w:p w:rsidR="00000000" w:rsidDel="00000000" w:rsidP="00000000" w:rsidRDefault="00000000" w:rsidRPr="00000000" w14:paraId="00000029">
      <w:pPr>
        <w:tabs>
          <w:tab w:val="right" w:leader="none" w:pos="9071"/>
        </w:tabs>
        <w:spacing w:after="0" w:line="360" w:lineRule="auto"/>
        <w:rPr/>
        <w:sectPr>
          <w:pgSz w:h="16838" w:w="11906" w:orient="portrait"/>
          <w:pgMar w:bottom="1134" w:top="1701" w:left="1701" w:right="1134" w:header="720" w:footer="720"/>
          <w:pgNumType w:start="1"/>
        </w:sectPr>
      </w:pPr>
      <w:r w:rsidDel="00000000" w:rsidR="00000000" w:rsidRPr="00000000">
        <w:rPr>
          <w:rtl w:val="0"/>
        </w:rPr>
        <w:t xml:space="preserve">6 REFERÊNCIAS</w:t>
        <w:tab/>
        <w:t xml:space="preserve">5</w:t>
      </w:r>
    </w:p>
    <w:p w:rsidR="00000000" w:rsidDel="00000000" w:rsidP="00000000" w:rsidRDefault="00000000" w:rsidRPr="00000000" w14:paraId="0000002A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 INTRODUÇÃO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Justificativa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Um agente de codificação tem duas partes: o modelo de linguagem e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, o software ao redor dele que monta o contexto, expõe as ferramentas e conduz a execução (Claude Code, Codex, OpenCode, pi). Pan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(2026), da Universidade da Califórnia em Berkeley, avaliaram sete modelos em três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 e concluíram que a escolha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quase não muda a taxa de sucesso, mas muda o custo. No SWE-bench Lite, o Claude Fable 5 resolve 97,8% das tentativas no Claude Code e 96,7% no pi, e o Claude Code custa cerca do dobro por tentativa (US$ 1,33 contra US$ 0,67).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Quem paga por tokens paga também essa diferença, que os autores chamam de imposto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. Essas medições usam tarefas isoladas de </w:t>
      </w:r>
      <w:r>
        <w:rPr>
          <w:b w:val="0"/>
          <w:i/>
          <w:bCs w:val="0"/>
          <w:iCs w:val="0"/>
          <w:rtl w:val="0"/>
        </w:rPr>
        <w:t xml:space="preserve">benchmarks</w:t>
      </w:r>
      <w:r>
        <w:rPr>
          <w:b w:val="0"/>
          <w:i w:val="0"/>
          <w:bCs w:val="0"/>
          <w:iCs w:val="0"/>
          <w:rtl w:val="0"/>
        </w:rPr>
        <w:t xml:space="preserve"> que os modelos podem ter visto no treino, e os próprios autores apontam como próximo passo medir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em fluxos reais de desenvolvimento, com tarefas de várias sessões. Este projeto constrói o mesmo produto, o Finn, com o OpenCode e com o pi, sobre o mesmo modelo e a mesma especificação, e conta os tokens fora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.</w:t>
      </w:r>
    </w:p>
    <w:p w:rsidR="00000000" w:rsidDel="00000000" w:rsidP="00000000" w:rsidRDefault="00000000" w:rsidRPr="00000000" w14:paraId="0000002E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Tema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 efeito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sobre o custo e o desempenho de um modelo de linguagem fixo na construção de um produto de software completo.</w:t>
      </w:r>
    </w:p>
    <w:p w:rsidR="00000000" w:rsidDel="00000000" w:rsidP="00000000" w:rsidRDefault="00000000" w:rsidRPr="00000000" w14:paraId="00000030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Problema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Com o modelo fixo, quanto mudam o custo em tokens e a taxa de sucesso ao construir o mesmo software com um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em vez de outro, e quanto da diferença de custo vem da carga fixa que cada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envia em toda requisição?</w:t>
      </w:r>
    </w:p>
    <w:p w:rsidR="00000000" w:rsidDel="00000000" w:rsidP="00000000" w:rsidRDefault="00000000" w:rsidRPr="00000000" w14:paraId="00000032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 geral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Medir, com o modelo fixo, a diferença de tokens e de taxa de sucesso atribuível ao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na construção do mesmo produto a partir da mesma especificação, com o OpenCode e o pi como braços, e separar a parcela que vem da carga fixa por requisição.</w:t>
      </w:r>
    </w:p>
    <w:p w:rsidR="00000000" w:rsidDel="00000000" w:rsidP="00000000" w:rsidRDefault="00000000" w:rsidRPr="00000000" w14:paraId="00000034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Objetivos específicos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1) construir o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 que conta requisições, tokens e latência por braço;</w:t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2) escrever a especificação do Finn em nove unidades, com testes de aceitação;</w:t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3) construir o Finn nos dois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, com o mesmo modelo, </w:t>
      </w:r>
      <w:r>
        <w:rPr>
          <w:b w:val="0"/>
          <w:i/>
          <w:bCs w:val="0"/>
          <w:iCs w:val="0"/>
          <w:rtl w:val="0"/>
        </w:rPr>
        <w:t xml:space="preserve">prompt</w:t>
      </w:r>
      <w:r>
        <w:rPr>
          <w:b w:val="0"/>
          <w:i w:val="0"/>
          <w:bCs w:val="0"/>
          <w:iCs w:val="0"/>
          <w:rtl w:val="0"/>
        </w:rPr>
        <w:t xml:space="preserve"> e espaço inicial;</w:t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4) repetir em um segundo modelo e verificar se a ordenação dos braços se mantém;</w:t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5) comparar os tokens relatados por cada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com os medidos no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;</w:t>
      </w:r>
    </w:p>
    <w:p>
      <w:pPr>
        <w:spacing w:after="0" w:line="360" w:lineRule="auto"/>
        <w:ind w:left="709" w:firstLine="0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6) publicar executor, </w:t>
      </w:r>
      <w:r>
        <w:rPr>
          <w:b w:val="0"/>
          <w:i/>
          <w:bCs w:val="0"/>
          <w:iCs w:val="0"/>
          <w:rtl w:val="0"/>
        </w:rPr>
        <w:t xml:space="preserve">prompts</w:t>
      </w:r>
      <w:r>
        <w:rPr>
          <w:b w:val="0"/>
          <w:i w:val="0"/>
          <w:bCs w:val="0"/>
          <w:iCs w:val="0"/>
          <w:rtl w:val="0"/>
        </w:rPr>
        <w:t xml:space="preserve">, testes, dados e scripts de análise.</w:t>
      </w:r>
    </w:p>
    <w:p w:rsidR="00000000" w:rsidDel="00000000" w:rsidP="00000000" w:rsidRDefault="00000000" w:rsidRPr="00000000" w14:paraId="0000003C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Metodologia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Pesquisa aplicada, quali-quantitativa, exploratória e experimental, de método dedutivo. Um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 reverso entre cada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 o modelo contará requisições, tokens e latência da mesma forma para os dois braços. Cada braço construirá o Finn do zero, em nove unidades, ao menos três vezes, e a diferença entre os braços será comparada unidade a unidade.</w:t>
      </w:r>
    </w:p>
    <w:p w:rsidR="00000000" w:rsidDel="00000000" w:rsidP="00000000" w:rsidRDefault="00000000" w:rsidRPr="00000000" w14:paraId="0000003E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Hipótese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H1: com o modelo fixo,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muda mais o custo do que o sucesso. Os tokens por unidade diferem entre o OpenCode e o pi, e a fração de testes aprovados fica igual. H1 será refutada se o teste pareado não apontar diferença de tokens ou se apontar diferença de sucesso.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H2: a carga fixa por requisição (</w:t>
      </w:r>
      <w:r>
        <w:rPr>
          <w:b w:val="0"/>
          <w:i/>
          <w:bCs w:val="0"/>
          <w:iCs w:val="0"/>
          <w:rtl w:val="0"/>
        </w:rPr>
        <w:t xml:space="preserve">prompt</w:t>
      </w:r>
      <w:r>
        <w:rPr>
          <w:b w:val="0"/>
          <w:i w:val="0"/>
          <w:bCs w:val="0"/>
          <w:iCs w:val="0"/>
          <w:rtl w:val="0"/>
        </w:rPr>
        <w:t xml:space="preserve"> de sistema e esquemas de ferramenta) explica a maior parte da diferença de tokens, e o número de passos explica a menor. H2 será refutada se os passos ou o conteúdo da conversa explicarem a maior parte.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Após esta introdução, a seção 2 apresenta o referencial teórico e a seção 3, o material e método. As seções 4, 5 e 6 trazem o orçamento, o cronograma e as referências.</w:t>
      </w:r>
    </w:p>
    <w:p w:rsidR="00000000" w:rsidDel="00000000" w:rsidP="00000000" w:rsidRDefault="00000000" w:rsidRPr="00000000" w14:paraId="00000042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 REFERENCIAL TEÓRICO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Segundo Ning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(2026, §2, tradução nossa), um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“converte um modelo de linguagem sem estado em um agente funcional ao ancorar suas saídas em execução externa, estado persistente e realimentação verificável”. Lin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delimitam o que essa camada contém:</w:t>
      </w:r>
    </w:p>
    <w:p w:rsidR="00000000" w:rsidDel="00000000" w:rsidP="00000000" w:rsidRDefault="00000000" w:rsidRPr="00000000" w14:paraId="00000044">
      <w:pPr>
        <w:spacing w:after="240" w:before="240" w:line="240" w:lineRule="auto"/>
        <w:ind w:left="2268" w:firstLine="0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Na prática, esse progresso depende não apenas do modelo de linguagem subjacente, mas igualmente dos componentes de engenharia que o cercam: o prompt de sistema que molda o estilo de trabalho, as ferramentas que expõem o sistema de arquivos e o shell, e o middleware que controla contexto, execução e recuperação. Esse conjunto de componentes externos ao modelo e editáveis é chamado coletivamente de harness do agente. (Lin 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et al.</w:t>
      </w:r>
      <w:r w:rsidDel="00000000" w:rsidR="00000000" w:rsidRPr="00000000">
        <w:rPr>
          <w:sz w:val="20"/>
          <w:szCs w:val="20"/>
          <w:rtl w:val="0"/>
        </w:rPr>
        <w:t xml:space="preserve">, 2026, §1, tradução nossa).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rtl w:val="0"/>
        </w:rPr>
        <w:t xml:space="preserve">Só esse conjunto varia entre os braços deste experimento. O pi envia quatro ferramentas e um </w:t>
      </w:r>
      <w:r>
        <w:rPr>
          <w:b w:val="0"/>
          <w:i/>
          <w:rtl w:val="0"/>
        </w:rPr>
        <w:t xml:space="preserve">prompt</w:t>
      </w:r>
      <w:r>
        <w:rPr>
          <w:b w:val="0"/>
          <w:i w:val="0"/>
          <w:rtl w:val="0"/>
        </w:rPr>
        <w:t xml:space="preserve"> de sistema curto, e o OpenCode envia mais ferramentas, um </w:t>
      </w:r>
      <w:r>
        <w:rPr>
          <w:b w:val="0"/>
          <w:i/>
          <w:rtl w:val="0"/>
        </w:rPr>
        <w:t xml:space="preserve">prompt</w:t>
      </w:r>
      <w:r>
        <w:rPr>
          <w:b w:val="0"/>
          <w:i w:val="0"/>
          <w:rtl w:val="0"/>
        </w:rPr>
        <w:t xml:space="preserve"> maior, subagentes e permissões.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Na Tabela 1 de Lin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(2026),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 escritos por humanos sobre o GPT-5.4 vão de 47,2% de aprovação no OpenCode a 71,9% no Codex, no Terminal-Bench 2. Zhang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sustentam que, entre modelos de fronteira comparáveis, a parcela do desempenho que vem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é comparável ou maior que a do modelo. Pan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mediram outra coisa no SWE-bench Lite: o efeito médio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sobre a taxa de sucesso ficou dentro de ±2%, enquanto o Claude Code custou cerca de 2,0 vezes o pi. Como as fontes divergem sobre o sucesso, este projeto mede sucesso e custo juntos.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primeira pendência é saber de onde vem a diferença de custo. Pan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apontam a primeira requisição. O contexto inicial do Claude Code passa de dez vezes o do pi, com número de turnos parecido (15,3 contra 15,4 no Claude Fable 5). Liu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apontam o resto da conversa. Mudando só a execução das ações, a compactação de contexto e o tratamento das observações, cortaram de 44,7% a 49,0% dos tokens em relação ao pi e mantiveram de 93,7% a 94,3% da pontuação dele. Ning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(2026, §5.2.7, tradução nossa) pedem “métricas que isolem componentes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”, e H2 testa se pesa mais a carga fixa ou a conversa.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segunda pendência é a instrumentação. Cada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conta turnos e tokens do seu jeito, e Pan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registram que a definição de turno varia entre eles. Aqui a medição ocorre em um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 externo, igual para os dois braços, e o objetivo (5) compara essa medida com o relato de cada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As métricas serão tokens por construção, ao lado da fração de testes aprovados, e o Succ/Mtok (sucessos por milhão de tokens) de Lin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(2026). O efeito também depende do modelo, pois em nove de doze comparações de Pan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(2026) o maior sucesso veio de um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de outro fornecedor. Por isso o desenho terá dois níveis de modelo.</w:t>
      </w:r>
    </w:p>
    <w:p w:rsidR="00000000" w:rsidDel="00000000" w:rsidP="00000000" w:rsidRDefault="00000000" w:rsidRPr="00000000" w14:paraId="0000004A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 MATERIAL E MÉTODO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pesquisa é aplicada quanto à finalidade, quali-quantitativa quanto à abordagem, exploratória quanto aos objetivos, experimental quanto aos procedimentos e dedutiva quanto ao método. É exploratória porque não há comparação publicada de </w:t>
      </w:r>
      <w:r>
        <w:rPr>
          <w:b w:val="0"/>
          <w:i/>
          <w:bCs w:val="0"/>
          <w:iCs w:val="0"/>
          <w:rtl w:val="0"/>
        </w:rPr>
        <w:t xml:space="preserve">harnesses</w:t>
      </w:r>
      <w:r>
        <w:rPr>
          <w:b w:val="0"/>
          <w:i w:val="0"/>
          <w:bCs w:val="0"/>
          <w:iCs w:val="0"/>
          <w:rtl w:val="0"/>
        </w:rPr>
        <w:t xml:space="preserve"> construindo o mesmo produto completo.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é a variável manipulada, e modelo, especificação, espaço de trabalho inicial e limites ficam controlados.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Conforme a Portaria CNPq nº 2.664/2026 (Brasil, 2026), declara-se o uso do Claude Code no levantamento das fontes, organizado pelo método </w:t>
      </w:r>
      <w:r>
        <w:rPr>
          <w:b w:val="0"/>
          <w:i/>
          <w:bCs w:val="0"/>
          <w:iCs w:val="0"/>
          <w:rtl w:val="0"/>
        </w:rPr>
        <w:t xml:space="preserve">LLM Wiki</w:t>
      </w:r>
      <w:r>
        <w:rPr>
          <w:b w:val="0"/>
          <w:i w:val="0"/>
          <w:bCs w:val="0"/>
          <w:iCs w:val="0"/>
          <w:rtl w:val="0"/>
        </w:rPr>
        <w:t xml:space="preserve"> de Karpathy (2026) no repositório do projeto (YuukiFST, 2026c), e na especificação do Finn, feita com o Helmsman (YuukiFST, 2026a). O autor conferiu cada afirmação citada na obra original e responde pelo texto e pelas decisões de produto.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medição terá duas camadas. A Camada 1 mede, contra um </w:t>
      </w:r>
      <w:r>
        <w:rPr>
          <w:b w:val="0"/>
          <w:i/>
          <w:bCs w:val="0"/>
          <w:iCs w:val="0"/>
          <w:rtl w:val="0"/>
        </w:rPr>
        <w:t xml:space="preserve">endpoint</w:t>
      </w:r>
      <w:r>
        <w:rPr>
          <w:b w:val="0"/>
          <w:i w:val="0"/>
          <w:bCs w:val="0"/>
          <w:iCs w:val="0"/>
          <w:rtl w:val="0"/>
        </w:rPr>
        <w:t xml:space="preserve"> simulado, os esquemas de ferramenta, o </w:t>
      </w:r>
      <w:r>
        <w:rPr>
          <w:b w:val="0"/>
          <w:i/>
          <w:bCs w:val="0"/>
          <w:iCs w:val="0"/>
          <w:rtl w:val="0"/>
        </w:rPr>
        <w:t xml:space="preserve">prompt</w:t>
      </w:r>
      <w:r>
        <w:rPr>
          <w:b w:val="0"/>
          <w:i w:val="0"/>
          <w:bCs w:val="0"/>
          <w:iCs w:val="0"/>
          <w:rtl w:val="0"/>
        </w:rPr>
        <w:t xml:space="preserve"> de sistema e os tokens de cada requisição, e fornece a carga fixa que H2 usa. A Camada 2 mede a construção do produto contra o modelo real.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Os braços serão o OpenCode (Opencode, 2026a) e o pi (Earendil, 2026). Os dois são de código aberto, rodam sem interface e aceitam URL base compatível com a API da OpenAI, o que permite passá-los pelo </w:t>
      </w:r>
      <w:r>
        <w:rPr>
          <w:b w:val="0"/>
          <w:i/>
          <w:bCs w:val="0"/>
          <w:iCs w:val="0"/>
          <w:rtl w:val="0"/>
        </w:rPr>
        <w:t xml:space="preserve">proxy</w:t>
      </w:r>
      <w:r>
        <w:rPr>
          <w:b w:val="0"/>
          <w:i w:val="0"/>
          <w:bCs w:val="0"/>
          <w:iCs w:val="0"/>
          <w:rtl w:val="0"/>
        </w:rPr>
        <w:t xml:space="preserve">. As versões serão fixadas e registradas no repositório (YuukiFST, 2026c).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 produto será o Finn, SaaS multiempresa em que a empresa cliente fala com o próprio financeiro por voz e recebe lançamento, relatório e aviso no celular (YuukiFST, 2026b). Produto e pilha foram decididos antes do experimento, em 21 </w:t>
      </w:r>
      <w:r>
        <w:rPr>
          <w:b w:val="0"/>
          <w:i/>
          <w:bCs w:val="0"/>
          <w:iCs w:val="0"/>
          <w:rtl w:val="0"/>
        </w:rPr>
        <w:t xml:space="preserve">tickets</w:t>
      </w:r>
      <w:r>
        <w:rPr>
          <w:b w:val="0"/>
          <w:i w:val="0"/>
          <w:bCs w:val="0"/>
          <w:iCs w:val="0"/>
          <w:rtl w:val="0"/>
        </w:rPr>
        <w:t xml:space="preserve">. O autor escreverá uma especificação única, congelada por SHA-256, com a pilha (TypeScript, TanStack Start, tRPC, Drizzle ORM, PostgreSQL, Vitest) e nove unidades em ordem de dependência. O executor chama 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uma vez por unidade, com o mesmo </w:t>
      </w:r>
      <w:r>
        <w:rPr>
          <w:b w:val="0"/>
          <w:i/>
          <w:bCs w:val="0"/>
          <w:iCs w:val="0"/>
          <w:rtl w:val="0"/>
        </w:rPr>
        <w:t xml:space="preserve">prompt</w:t>
      </w:r>
      <w:r>
        <w:rPr>
          <w:b w:val="0"/>
          <w:i w:val="0"/>
          <w:bCs w:val="0"/>
          <w:iCs w:val="0"/>
          <w:rtl w:val="0"/>
        </w:rPr>
        <w:t xml:space="preserve"> nos dois braços, e cada unidade parte do que o agente construiu na anterior. O autor não escreve código no espaço de trabalho.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pontuação será a fração dos testes de aceitação aprovados. O autor escreverá os testes antes da execução, os manterá fora do espaço de trabalho e os rodará sobre uma cópia dele ao fim de cada unidade. Os testes escritos pelo agente não contam, e uma unidade conta como concluída quando todos os seus testes passam.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Serão dois níveis de modelo, primário e de robustez, ambos gratuitos no mesmo </w:t>
      </w:r>
      <w:r>
        <w:rPr>
          <w:b w:val="0"/>
          <w:i/>
          <w:bCs w:val="0"/>
          <w:iCs w:val="0"/>
          <w:rtl w:val="0"/>
        </w:rPr>
        <w:t xml:space="preserve">gateway</w:t>
      </w:r>
      <w:r>
        <w:rPr>
          <w:b w:val="0"/>
          <w:i w:val="0"/>
          <w:bCs w:val="0"/>
          <w:iCs w:val="0"/>
          <w:rtl w:val="0"/>
        </w:rPr>
        <w:t xml:space="preserve"> (Opencode, 2026b), com resultados relatados por nível. Se a ordenação dos braços inverter de um nível para o outro, a inversão será reportada como resultado.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rtl w:val="0"/>
        </w:rPr>
        <w:t xml:space="preserve">O </w:t>
      </w:r>
      <w:r>
        <w:rPr>
          <w:b w:val="0"/>
          <w:i/>
          <w:rtl w:val="0"/>
        </w:rPr>
        <w:t xml:space="preserve">proxy</w:t>
      </w:r>
      <w:r>
        <w:rPr>
          <w:b w:val="0"/>
          <w:i w:val="0"/>
          <w:rtl w:val="0"/>
        </w:rPr>
        <w:t xml:space="preserve"> contará os tokens sobre os bytes transmitidos, com o mesmo tokenizador para os dois braços. As contagens do </w:t>
      </w:r>
      <w:r>
        <w:rPr>
          <w:b w:val="0"/>
          <w:i/>
          <w:rtl w:val="0"/>
        </w:rPr>
        <w:t xml:space="preserve">harness</w:t>
      </w:r>
      <w:r>
        <w:rPr>
          <w:b w:val="0"/>
          <w:i w:val="0"/>
          <w:rtl w:val="0"/>
        </w:rPr>
        <w:t xml:space="preserve"> e do </w:t>
      </w:r>
      <w:r>
        <w:rPr>
          <w:b w:val="0"/>
          <w:i/>
          <w:rtl w:val="0"/>
        </w:rPr>
        <w:t xml:space="preserve">gateway</w:t>
      </w:r>
      <w:r>
        <w:rPr>
          <w:b w:val="0"/>
          <w:i w:val="0"/>
          <w:rtl w:val="0"/>
        </w:rPr>
        <w:t xml:space="preserve"> servem só para verificação cruzada.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Haverá um único limite, igual para os dois braços: tempo de relógio por unidade, de três vezes a maior mediana dos braços nas unidades-piloto. O número de passos fica livre, porque um teto de passos é decisão de projeto de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e apagaria a diferença sob teste.</w:t>
      </w:r>
    </w:p>
    <w:p>
      <w:pPr>
        <w:spacing w:after="0" w:line="360" w:lineRule="auto"/>
        <w:ind w:firstLine="709"/>
        <w:jc w:val="both"/>
        <w:rPr/>
      </w:pPr>
      <w:r>
        <w:rPr>
          <w:rFonts w:ascii="Gungsuh" w:cs="Gungsuh" w:eastAsia="Gungsuh" w:hAnsi="Gungsuh"/>
          <w:b w:val="0"/>
          <w:i w:val="0"/>
          <w:bCs w:val="0"/>
          <w:iCs w:val="0"/>
          <w:rtl w:val="0"/>
        </w:rPr>
        <w:t xml:space="preserve">Cada combinação de braço e nível terá ao menos três construções completas válidas, relatadas em mediana e dispersão.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A comparação usará o teste de Wilcoxon dos postos sinalizados, bilateral, α = 0,05, sobre tokens, fração de testes aprovados e Succ/Mtok, pareado por unidade porque a dificuldade da unidade é a maior fonte de variação (Miller, 2024). Para H2, os tokens de cada unidade serão divididos em carga fixa (Camada 1 vezes o número de passos) e conversa. As predições serão registradas antes da coleta.</w:t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Unidade não concluída conta como resultado, com a fração de testes aprovada, e a construção segue. Medição não confiável, como a troca do modelo servido no meio da coleta, descarta a construção inteira.</w:t>
      </w:r>
    </w:p>
    <w:p w:rsidR="00000000" w:rsidDel="00000000" w:rsidP="00000000" w:rsidRDefault="00000000" w:rsidRPr="00000000" w14:paraId="00000056">
      <w:pPr>
        <w:spacing w:after="0" w:before="120" w:line="36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Limitações e ameaças à validade</w:t>
      </w:r>
      <w:r w:rsidDel="00000000" w:rsidR="00000000" w:rsidRPr="00000000">
        <w:rPr>
          <w:rtl w:val="0"/>
        </w:rPr>
      </w:r>
    </w:p>
    <w:p>
      <w:pPr>
        <w:spacing w:after="0" w:line="360" w:lineRule="auto"/>
        <w:ind w:firstLine="709"/>
        <w:jc w:val="both"/>
        <w:rPr/>
      </w:pPr>
      <w:r>
        <w:rPr>
          <w:b w:val="0"/>
          <w:i w:val="0"/>
          <w:bCs w:val="0"/>
          <w:iCs w:val="0"/>
          <w:rtl w:val="0"/>
        </w:rPr>
        <w:t xml:space="preserve">O projeto tem quatro limitações. O efeito do </w:t>
      </w:r>
      <w:r>
        <w:rPr>
          <w:b w:val="0"/>
          <w:i/>
          <w:bCs w:val="0"/>
          <w:iCs w:val="0"/>
          <w:rtl w:val="0"/>
        </w:rPr>
        <w:t xml:space="preserve">harness</w:t>
      </w:r>
      <w:r>
        <w:rPr>
          <w:b w:val="0"/>
          <w:i w:val="0"/>
          <w:bCs w:val="0"/>
          <w:iCs w:val="0"/>
          <w:rtl w:val="0"/>
        </w:rPr>
        <w:t xml:space="preserve"> depende do modelo, então as conclusões valem por nível. O produto é um único SaaS em uma única pilha. Cada braço carrega os próprios erros de uma unidade à seguinte, então as unidades não são independentes, embora o teste de Wilcoxon suponha que sejam; o valor-p será lido como indicativo, ao lado da diferença e da dispersão. Por fim, o nível gratuito do </w:t>
      </w:r>
      <w:r>
        <w:rPr>
          <w:b w:val="0"/>
          <w:i/>
          <w:bCs w:val="0"/>
          <w:iCs w:val="0"/>
          <w:rtl w:val="0"/>
        </w:rPr>
        <w:t xml:space="preserve">gateway</w:t>
      </w:r>
      <w:r>
        <w:rPr>
          <w:b w:val="0"/>
          <w:i w:val="0"/>
          <w:bCs w:val="0"/>
          <w:iCs w:val="0"/>
          <w:rtl w:val="0"/>
        </w:rPr>
        <w:t xml:space="preserve"> pode trocar o modelo ou cortar a cota durante a coleta.</w:t>
      </w:r>
    </w:p>
    <w:p w:rsidR="00000000" w:rsidDel="00000000" w:rsidP="00000000" w:rsidRDefault="00000000" w:rsidRPr="00000000" w14:paraId="00000058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 ORÇAMENTO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1"/>
        <w:spacing w:after="40" w:before="12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Tabela 1 – Orçamento do projeto</w:t>
      </w:r>
      <w:r w:rsidDel="00000000" w:rsidR="00000000" w:rsidRPr="00000000">
        <w:rPr>
          <w:rtl w:val="0"/>
        </w:rPr>
      </w:r>
    </w:p>
    <w:tbl>
      <w:tblPr>
        <w:tblStyle w:val="Table1"/>
        <w:tblW w:w="9071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520"/>
        <w:gridCol w:w="2551"/>
        <w:tblGridChange w:id="0">
          <w:tblGrid>
            <w:gridCol w:w="6520"/>
            <w:gridCol w:w="255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Custo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>
            <w:pPr>
              <w:spacing w:after="20" w:before="20" w:lineRule="auto"/>
              <w:rPr/>
            </w:pPr>
            <w:r>
              <w:rPr>
                <w:b w:val="0"/>
                <w:i w:val="0"/>
                <w:sz w:val="22"/>
                <w:szCs w:val="22"/>
                <w:rtl w:val="0"/>
              </w:rPr>
              <w:t xml:space="preserve">Inferência dos modelos (dois níveis, nível gratuito do </w:t>
            </w:r>
            <w:r>
              <w:rPr>
                <w:b w:val="0"/>
                <w:i/>
                <w:sz w:val="22"/>
                <w:szCs w:val="22"/>
                <w:rtl w:val="0"/>
              </w:rPr>
              <w:t xml:space="preserve">gateway</w:t>
            </w:r>
            <w:r>
              <w:rPr>
                <w:b w:val="0"/>
                <w:i w:val="0"/>
                <w:sz w:val="22"/>
                <w:szCs w:val="22"/>
                <w:rtl w:val="0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05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R$ 0,00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>
            <w:pPr>
              <w:spacing w:after="20" w:before="20" w:lineRule="auto"/>
              <w:rPr/>
            </w:pPr>
            <w:r>
              <w:rPr>
                <w:b w:val="0"/>
                <w:i/>
                <w:bCs w:val="0"/>
                <w:iCs w:val="1"/>
                <w:sz w:val="22"/>
                <w:szCs w:val="22"/>
                <w:rtl w:val="0"/>
              </w:rPr>
              <w:t xml:space="preserve">Harnesses</w:t>
            </w:r>
            <w:r>
              <w:rPr>
                <w:b w:val="0"/>
                <w:i w:val="0"/>
                <w:bCs w:val="0"/>
                <w:iCs w:val="1"/>
                <w:sz w:val="22"/>
                <w:szCs w:val="22"/>
                <w:rtl w:val="0"/>
              </w:rPr>
              <w:t xml:space="preserve"> e ferramentas de código aberto</w:t>
            </w:r>
          </w:p>
        </w:tc>
        <w:tc>
          <w:tcPr/>
          <w:p w:rsidR="00000000" w:rsidDel="00000000" w:rsidP="00000000" w:rsidRDefault="00000000" w:rsidRPr="00000000" w14:paraId="0000005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R$ 0,00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0">
            <w:pPr>
              <w:spacing w:after="20" w:before="20" w:lineRule="auto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Máquinas (estação pessoal NixOS e estação pessoal Windows)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22"/>
                <w:szCs w:val="22"/>
                <w:rtl w:val="0"/>
              </w:rPr>
              <w:t xml:space="preserve">R$ 0,00 (já disponíveis)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R$ 0,00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spacing w:after="120" w:before="4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 CRONOGRAMA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1"/>
        <w:spacing w:after="40" w:before="12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Tabela 2 – Cronograma de execução</w:t>
      </w:r>
      <w:r w:rsidDel="00000000" w:rsidR="00000000" w:rsidRPr="00000000">
        <w:rPr>
          <w:rtl w:val="0"/>
        </w:rPr>
      </w:r>
    </w:p>
    <w:tbl>
      <w:tblPr>
        <w:tblStyle w:val="Table2"/>
        <w:tblW w:w="9071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CellMar>
          <w:left w:w="57" w:type="dxa"/>
          <w:right w:w="57" w:type="dxa"/>
        </w:tblCellMar>
        <w:tblLook w:val="0400"/>
      </w:tblPr>
      <w:tblGrid>
        <w:gridCol w:w="4191"/>
        <w:gridCol w:w="1220"/>
        <w:gridCol w:w="1220"/>
        <w:gridCol w:w="1220"/>
        <w:gridCol w:w="1220"/>
        <w:tblGridChange w:id="0">
          <w:tblGrid>
            <w:gridCol w:w="4191"/>
            <w:gridCol w:w="1220"/>
            <w:gridCol w:w="1220"/>
            <w:gridCol w:w="1220"/>
            <w:gridCol w:w="12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spacing w:after="20" w:before="2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FASES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AGOSTO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SETEMBRO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OUTUBRO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NOVEMBRO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LEITURA E LEVANTAMENTO BIBLIOGRÁFICO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>
            <w:pPr>
              <w:spacing w:after="20" w:before="20" w:lineRule="auto"/>
              <w:rPr/>
            </w:pPr>
            <w:r>
              <w:rPr>
                <w:b w:val="0"/>
                <w:i w:val="0"/>
                <w:sz w:val="18"/>
                <w:szCs w:val="18"/>
                <w:rtl w:val="0"/>
              </w:rPr>
              <w:t xml:space="preserve">DEFINIÇÃO DO TEMA E DAS HIPÓTESES</w:t>
            </w:r>
          </w:p>
        </w:tc>
        <w:tc>
          <w:tcPr/>
          <w:p w:rsidR="00000000" w:rsidDel="00000000" w:rsidP="00000000" w:rsidRDefault="00000000" w:rsidRPr="00000000" w14:paraId="0000007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>
            <w:pPr>
              <w:spacing w:after="20" w:before="20" w:lineRule="auto"/>
              <w:rPr/>
            </w:pPr>
            <w:r>
              <w:rPr>
                <w:b w:val="0"/>
                <w:i w:val="0"/>
                <w:bCs w:val="0"/>
                <w:iCs w:val="0"/>
                <w:sz w:val="18"/>
                <w:szCs w:val="18"/>
                <w:rtl w:val="0"/>
              </w:rPr>
              <w:t xml:space="preserve">CONSTRUÇÃO DO PROXY E DOS TESTES</w:t>
            </w:r>
          </w:p>
        </w:tc>
        <w:tc>
          <w:tcPr/>
          <w:p w:rsidR="00000000" w:rsidDel="00000000" w:rsidP="00000000" w:rsidRDefault="00000000" w:rsidRPr="00000000" w14:paraId="0000007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ESCREVENDO INTRODUÇÃO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7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ESCREVENDO REFERENCIAL TEÓRICO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8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3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ESCREVENDO MATERIAL E MÉTODO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95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96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EXECUÇÃO DA MATRIZ DE EXPERIMENTOS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ANÁLISE DOS RESULTADOS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spacing w:after="20" w:before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ELABORANDO AS REFERÊNCIAS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9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AA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AB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>
            <w:pPr>
              <w:spacing w:after="20" w:before="20" w:lineRule="auto"/>
              <w:rPr/>
            </w:pPr>
            <w:r>
              <w:rPr>
                <w:b w:val="0"/>
                <w:i w:val="0"/>
                <w:sz w:val="18"/>
                <w:szCs w:val="18"/>
                <w:rtl w:val="0"/>
              </w:rPr>
              <w:t xml:space="preserve">REVISÃO FINAL E APRESENTAÇÃO</w:t>
            </w:r>
          </w:p>
        </w:tc>
        <w:tc>
          <w:tcPr/>
          <w:p w:rsidR="00000000" w:rsidDel="00000000" w:rsidP="00000000" w:rsidRDefault="00000000" w:rsidRPr="00000000" w14:paraId="000000B0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spacing w:after="20" w:before="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6">
      <w:pPr>
        <w:spacing w:after="120" w:before="40" w:line="24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Fonte: elaborado pelo autor (2026).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1"/>
        <w:spacing w:after="120" w:before="240" w:line="360" w:lineRule="auto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 REFERÊNCIAS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BRASIL. Conselho Nacional de Desenvolvimento Científico e Tecnológico.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Portaria CNPq nº 2.664, de 6 de março de 2026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. Institui a Política de Integridade na Atividade Científica do CNPq. Diário Oficial da União: seção 1, Brasília, DF, p. 4, 11 mar. 2026. Disponível em: http://memoria2.cnpq.br/web/guest/view/-/journal_content/56_INSTANCE_0oED/10157/23142775. Acesso em: 11 set.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EARENDIL. </w:t>
      </w:r>
      <w:r w:rsidDel="00000000" w:rsidR="00000000" w:rsidRPr="00000000">
        <w:rPr>
          <w:b w:val="1"/>
          <w:bCs w:val="1"/>
          <w:rtl w:val="0"/>
        </w:rPr>
        <w:t xml:space="preserve">Pi, minimal and performant</w:t>
      </w:r>
      <w:r w:rsidDel="00000000" w:rsidR="00000000" w:rsidRPr="00000000">
        <w:rPr>
          <w:rtl w:val="0"/>
        </w:rPr>
        <w:t xml:space="preserve">. 2026. Publicação de blogue institucional. Disponível em: https://earendil.com/posts/pi-autoresearch-and-databricks/. Acesso em: 28 ago. 2026.</w:t>
      </w:r>
    </w:p>
    <w:p>
      <w:pPr>
        <w:spacing w:after="240" w:line="240" w:lineRule="auto"/>
        <w:rPr/>
      </w:pPr>
      <w:r>
        <w:rPr>
          <w:b w:val="0"/>
          <w:i w:val="0"/>
          <w:bCs w:val="0"/>
          <w:iCs w:val="0"/>
          <w:rtl w:val="0"/>
        </w:rPr>
        <w:t xml:space="preserve">KARPATHY, Andrej. </w:t>
      </w:r>
      <w:r>
        <w:rPr>
          <w:b/>
          <w:i w:val="0"/>
          <w:bCs w:val="0"/>
          <w:iCs w:val="0"/>
          <w:rtl w:val="0"/>
        </w:rPr>
        <w:t xml:space="preserve">LLM Wiki</w:t>
      </w:r>
      <w:r>
        <w:rPr>
          <w:b w:val="0"/>
          <w:i w:val="0"/>
          <w:bCs w:val="0"/>
          <w:iCs w:val="0"/>
          <w:rtl w:val="0"/>
        </w:rPr>
        <w:t xml:space="preserve">: a pattern for building personal knowledge bases using LLMs. 2026. Gist (GitHub). Disponível em: https://gist.github.com/karpathy/442a6bf555914893e9891c11519de94f. Acesso em: 14 set. 2026.</w:t>
      </w:r>
    </w:p>
    <w:p>
      <w:pPr>
        <w:spacing w:after="240" w:line="240" w:lineRule="auto"/>
        <w:rPr/>
      </w:pPr>
      <w:r>
        <w:rPr>
          <w:b w:val="0"/>
          <w:i w:val="0"/>
          <w:rtl w:val="0"/>
        </w:rPr>
        <w:t xml:space="preserve">LIN, Jiahang </w:t>
      </w:r>
      <w:r>
        <w:rPr>
          <w:b w:val="0"/>
          <w:i/>
          <w:rtl w:val="0"/>
        </w:rPr>
        <w:t xml:space="preserve">et al.</w:t>
      </w:r>
      <w:r>
        <w:rPr>
          <w:b w:val="0"/>
          <w:i w:val="0"/>
          <w:rtl w:val="0"/>
        </w:rPr>
        <w:t xml:space="preserve"> </w:t>
      </w:r>
      <w:r>
        <w:rPr>
          <w:b/>
          <w:i w:val="0"/>
          <w:rtl w:val="0"/>
        </w:rPr>
        <w:t xml:space="preserve">Agentic harness engineering</w:t>
      </w:r>
      <w:r>
        <w:rPr>
          <w:b w:val="0"/>
          <w:i w:val="0"/>
          <w:rtl w:val="0"/>
        </w:rPr>
        <w:t xml:space="preserve">: observability-driven automatic evolution of coding-agent harnesses. arXiv:2604.25850, 2026. </w:t>
      </w:r>
      <w:r>
        <w:rPr>
          <w:b w:val="0"/>
          <w:i/>
          <w:rtl w:val="0"/>
        </w:rPr>
        <w:t xml:space="preserve">Preprint</w:t>
      </w:r>
      <w:r>
        <w:rPr>
          <w:b w:val="0"/>
          <w:i w:val="0"/>
          <w:rtl w:val="0"/>
        </w:rPr>
        <w:t xml:space="preserve">, não revisado por pares. Disponível em: https://arxiv.org/abs/2604.25850. Acesso em: 28 ago. 2026.</w:t>
      </w:r>
    </w:p>
    <w:p>
      <w:pPr>
        <w:spacing w:after="240" w:line="240" w:lineRule="auto"/>
        <w:rPr/>
      </w:pPr>
      <w:r>
        <w:rPr>
          <w:b w:val="0"/>
          <w:i w:val="0"/>
          <w:rtl w:val="0"/>
        </w:rPr>
        <w:t xml:space="preserve">LIU, Haozhe </w:t>
      </w:r>
      <w:r>
        <w:rPr>
          <w:b w:val="0"/>
          <w:i/>
          <w:rtl w:val="0"/>
        </w:rPr>
        <w:t xml:space="preserve">et al.</w:t>
      </w:r>
      <w:r>
        <w:rPr>
          <w:b w:val="0"/>
          <w:i w:val="0"/>
          <w:rtl w:val="0"/>
        </w:rPr>
        <w:t xml:space="preserve"> </w:t>
      </w:r>
      <w:r>
        <w:rPr>
          <w:b/>
          <w:i w:val="0"/>
          <w:rtl w:val="0"/>
        </w:rPr>
        <w:t xml:space="preserve">SoL-Pi</w:t>
      </w:r>
      <w:r>
        <w:rPr>
          <w:b w:val="0"/>
          <w:i w:val="0"/>
          <w:rtl w:val="0"/>
        </w:rPr>
        <w:t xml:space="preserve">: recursively scaling auto-research loops for efficient agent harness. arXiv:2609.20519, 2026. </w:t>
      </w:r>
      <w:r>
        <w:rPr>
          <w:b w:val="0"/>
          <w:i/>
          <w:rtl w:val="0"/>
        </w:rPr>
        <w:t xml:space="preserve">Preprint</w:t>
      </w:r>
      <w:r>
        <w:rPr>
          <w:b w:val="0"/>
          <w:i w:val="0"/>
          <w:rtl w:val="0"/>
        </w:rPr>
        <w:t xml:space="preserve">, não revisado por pares. Disponível em: https://arxiv.org/abs/2609.20519. Acesso em: 23 set. 2026.</w:t>
      </w:r>
    </w:p>
    <w:p w:rsidR="00000000" w:rsidDel="00000000" w:rsidP="00000000" w:rsidRDefault="00000000" w:rsidRPr="00000000" w14:paraId="000000C1">
      <w:pPr>
        <w:spacing w:after="240" w:line="240" w:lineRule="auto"/>
        <w:rPr/>
      </w:pP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MILLER, Evan. </w:t>
      </w:r>
      <w:r w:rsidDel="00000000" w:rsidR="00000000" w:rsidRPr="00000000">
        <w:rPr>
          <w:b w:val="1"/>
          <w:bCs w:val="1"/>
          <w:i w:val="0"/>
          <w:iCs w:val="0"/>
          <w:rtl w:val="0"/>
        </w:rPr>
        <w:t xml:space="preserve">Adding error bars to evals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: a statistical approach to language model evaluations. arXiv:2411.00640, 2024. </w:t>
      </w:r>
      <w:r w:rsidDel="00000000" w:rsidR="00000000" w:rsidRPr="00000000">
        <w:rPr>
          <w:b w:val="0"/>
          <w:bCs w:val="0"/>
          <w:i w:val="1"/>
          <w:iCs w:val="1"/>
          <w:rtl w:val="0"/>
        </w:rPr>
        <w:t xml:space="preserve">Preprint</w:t>
      </w:r>
      <w:r w:rsidDel="00000000" w:rsidR="00000000" w:rsidRPr="00000000">
        <w:rPr>
          <w:b w:val="0"/>
          <w:bCs w:val="0"/>
          <w:i w:val="0"/>
          <w:iCs w:val="0"/>
          <w:rtl w:val="0"/>
        </w:rPr>
        <w:t xml:space="preserve">, não revisado por pares. Disponível em: https://arxiv.org/abs/2411.00640. Acesso em: 28 ago. 2026.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240" w:line="240" w:lineRule="auto"/>
        <w:rPr/>
      </w:pPr>
      <w:r w:rsidDel="00000000" w:rsidR="00000000" w:rsidRPr="00000000">
        <w:rPr>
          <w:rtl w:val="0"/>
        </w:rPr>
        <w:t xml:space="preserve">NING, Xuying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Code as agent harness</w:t>
      </w:r>
      <w:r w:rsidDel="00000000" w:rsidR="00000000" w:rsidRPr="00000000">
        <w:rPr>
          <w:rtl w:val="0"/>
        </w:rPr>
        <w:t xml:space="preserve">. arXiv:2605.18747, 2026. </w:t>
      </w:r>
      <w:r w:rsidDel="00000000" w:rsidR="00000000" w:rsidRPr="00000000">
        <w:rPr>
          <w:i w:val="1"/>
          <w:iCs w:val="1"/>
          <w:rtl w:val="0"/>
        </w:rPr>
        <w:t xml:space="preserve">Preprint</w:t>
      </w:r>
      <w:r w:rsidDel="00000000" w:rsidR="00000000" w:rsidRPr="00000000">
        <w:rPr>
          <w:rtl w:val="0"/>
        </w:rPr>
        <w:t xml:space="preserve">, não revisado por pares. Disponível em: https://arxiv.org/abs/2605.18747. Acesso em: 28 ago. 2026.</w:t>
      </w:r>
    </w:p>
    <w:p>
      <w:pPr>
        <w:spacing w:after="240" w:line="240" w:lineRule="auto"/>
        <w:rPr/>
      </w:pPr>
      <w:r>
        <w:rPr>
          <w:b w:val="0"/>
          <w:i w:val="0"/>
          <w:bCs w:val="0"/>
          <w:iCs w:val="0"/>
          <w:rtl w:val="0"/>
        </w:rPr>
        <w:t xml:space="preserve">OPENCODE. </w:t>
      </w:r>
      <w:r>
        <w:rPr>
          <w:b/>
          <w:i w:val="0"/>
          <w:bCs w:val="0"/>
          <w:iCs w:val="0"/>
          <w:rtl w:val="0"/>
        </w:rPr>
        <w:t xml:space="preserve">OpenCode</w:t>
      </w:r>
      <w:r>
        <w:rPr>
          <w:b w:val="0"/>
          <w:i w:val="0"/>
          <w:bCs w:val="0"/>
          <w:iCs w:val="0"/>
          <w:rtl w:val="0"/>
        </w:rPr>
        <w:t xml:space="preserve">: the open source coding agent. 2026a. Repositório de código. Disponível em: https://github.com/anomalyco/opencode. Acesso em: 14 set. 2026.</w:t>
      </w:r>
    </w:p>
    <w:p>
      <w:pPr>
        <w:spacing w:after="240" w:line="240" w:lineRule="auto"/>
        <w:rPr/>
      </w:pPr>
      <w:r>
        <w:rPr>
          <w:b w:val="0"/>
          <w:i w:val="0"/>
          <w:bCs w:val="0"/>
          <w:iCs w:val="0"/>
          <w:rtl w:val="0"/>
        </w:rPr>
        <w:t xml:space="preserve">OPENCODE. </w:t>
      </w:r>
      <w:r>
        <w:rPr>
          <w:b/>
          <w:i w:val="0"/>
          <w:bCs w:val="0"/>
          <w:iCs w:val="0"/>
          <w:rtl w:val="0"/>
        </w:rPr>
        <w:t xml:space="preserve">Zen</w:t>
      </w:r>
      <w:r>
        <w:rPr>
          <w:b w:val="0"/>
          <w:i w:val="0"/>
          <w:bCs w:val="0"/>
          <w:iCs w:val="0"/>
          <w:rtl w:val="0"/>
        </w:rPr>
        <w:t xml:space="preserve">. 2026b. Documentação do produto. Disponível em: https://opencode.ai/docs/zen/. Acesso em: 28 ago. 2026.</w:t>
      </w:r>
    </w:p>
    <w:p>
      <w:pPr>
        <w:spacing w:after="240" w:line="240" w:lineRule="auto"/>
        <w:rPr/>
      </w:pPr>
      <w:r>
        <w:rPr>
          <w:b w:val="0"/>
          <w:i w:val="0"/>
          <w:bCs w:val="0"/>
          <w:iCs w:val="0"/>
          <w:rtl w:val="0"/>
        </w:rPr>
        <w:t xml:space="preserve">PAN, Melissa Z. </w:t>
      </w:r>
      <w:r>
        <w:rPr>
          <w:b w:val="0"/>
          <w:i/>
          <w:bCs w:val="0"/>
          <w:iCs w:val="0"/>
          <w:rtl w:val="0"/>
        </w:rPr>
        <w:t xml:space="preserve">et al.</w:t>
      </w:r>
      <w:r>
        <w:rPr>
          <w:b w:val="0"/>
          <w:i w:val="0"/>
          <w:bCs w:val="0"/>
          <w:iCs w:val="0"/>
          <w:rtl w:val="0"/>
        </w:rPr>
        <w:t xml:space="preserve"> </w:t>
      </w:r>
      <w:r>
        <w:rPr>
          <w:b/>
          <w:i w:val="0"/>
          <w:bCs w:val="0"/>
          <w:iCs w:val="0"/>
          <w:rtl w:val="0"/>
        </w:rPr>
        <w:t xml:space="preserve">HarnessTax</w:t>
      </w:r>
      <w:r>
        <w:rPr>
          <w:b w:val="0"/>
          <w:i w:val="0"/>
          <w:bCs w:val="0"/>
          <w:iCs w:val="0"/>
          <w:rtl w:val="0"/>
        </w:rPr>
        <w:t xml:space="preserve">: how much does the harness matter for coding agents? 2026. Publicação de blogue de pesquisa, não revisada por pares. Disponível em: https://harnesstax.github.io/. Acesso em: 23 set. 2026.</w:t>
      </w:r>
    </w:p>
    <w:p>
      <w:pPr>
        <w:spacing w:after="240" w:line="240" w:lineRule="auto"/>
        <w:rPr/>
      </w:pPr>
      <w:r>
        <w:rPr>
          <w:b w:val="0"/>
          <w:i w:val="0"/>
          <w:bCs w:val="0"/>
          <w:iCs w:val="0"/>
          <w:rtl w:val="0"/>
        </w:rPr>
        <w:t xml:space="preserve">YUUKIFST. </w:t>
      </w:r>
      <w:r>
        <w:rPr>
          <w:b/>
          <w:i w:val="0"/>
          <w:bCs w:val="0"/>
          <w:iCs w:val="0"/>
          <w:rtl w:val="0"/>
        </w:rPr>
        <w:t xml:space="preserve">agent-dotfiles</w:t>
      </w:r>
      <w:r>
        <w:rPr>
          <w:b w:val="0"/>
          <w:i w:val="0"/>
          <w:bCs w:val="0"/>
          <w:iCs w:val="0"/>
          <w:rtl w:val="0"/>
        </w:rPr>
        <w:t xml:space="preserve">: skill Helmsman, mapa de decisões para agentes de codificação. 2026a. Repositório de código. Disponível em: https://github.com/YuukiFST/agent-dotfiles/tree/main/skills/helmsman. Acesso em: 15 set. 2026.</w:t>
      </w:r>
    </w:p>
    <w:p>
      <w:pPr>
        <w:spacing w:after="240" w:line="240" w:lineRule="auto"/>
        <w:rPr/>
      </w:pPr>
      <w:r>
        <w:rPr>
          <w:b w:val="0"/>
          <w:i w:val="0"/>
          <w:bCs w:val="0"/>
          <w:iCs w:val="0"/>
          <w:rtl w:val="0"/>
        </w:rPr>
        <w:t xml:space="preserve">YUUKIFST. </w:t>
      </w:r>
      <w:r>
        <w:rPr>
          <w:b/>
          <w:i w:val="0"/>
          <w:bCs w:val="0"/>
          <w:iCs w:val="0"/>
          <w:rtl w:val="0"/>
        </w:rPr>
        <w:t xml:space="preserve">Finn</w:t>
      </w:r>
      <w:r>
        <w:rPr>
          <w:b w:val="0"/>
          <w:i w:val="0"/>
          <w:bCs w:val="0"/>
          <w:iCs w:val="0"/>
          <w:rtl w:val="0"/>
        </w:rPr>
        <w:t xml:space="preserve">: SaaS universal de financeiro por voz. 2026b. Repositório de código. Disponível em: https://github.com/YuukiFST/Finn. Acesso em: 14 set. 2026.</w:t>
      </w:r>
    </w:p>
    <w:p>
      <w:pPr>
        <w:spacing w:after="240" w:line="240" w:lineRule="auto"/>
        <w:rPr/>
      </w:pPr>
      <w:r>
        <w:rPr>
          <w:b w:val="0"/>
          <w:i w:val="0"/>
          <w:bCs w:val="0"/>
          <w:iCs w:val="0"/>
          <w:rtl w:val="0"/>
        </w:rPr>
        <w:t xml:space="preserve">YUUKIFST. </w:t>
      </w:r>
      <w:r>
        <w:rPr>
          <w:b/>
          <w:i w:val="0"/>
          <w:bCs w:val="0"/>
          <w:iCs w:val="0"/>
          <w:rtl w:val="0"/>
        </w:rPr>
        <w:t xml:space="preserve">harness-bench</w:t>
      </w:r>
      <w:r>
        <w:rPr>
          <w:b w:val="0"/>
          <w:i w:val="0"/>
          <w:bCs w:val="0"/>
          <w:iCs w:val="0"/>
          <w:rtl w:val="0"/>
        </w:rPr>
        <w:t xml:space="preserve">: executor, prompts, testes de aceitação, dados brutos e scripts de análise deste projeto. 2026c. Repositório de código. Disponível em: https://github.com/YuukiFST/harness-bench. Acesso em: 28 ago. 2026.</w:t>
      </w:r>
    </w:p>
    <w:p>
      <w:pPr>
        <w:spacing w:after="240" w:line="240" w:lineRule="auto"/>
        <w:rPr/>
      </w:pPr>
      <w:r>
        <w:rPr>
          <w:b w:val="0"/>
          <w:i w:val="0"/>
          <w:rtl w:val="0"/>
        </w:rPr>
        <w:t xml:space="preserve">ZHANG, Yunbei </w:t>
      </w:r>
      <w:r>
        <w:rPr>
          <w:b w:val="0"/>
          <w:i/>
          <w:rtl w:val="0"/>
        </w:rPr>
        <w:t xml:space="preserve">et al.</w:t>
      </w:r>
      <w:r>
        <w:rPr>
          <w:b w:val="0"/>
          <w:i w:val="0"/>
          <w:rtl w:val="0"/>
        </w:rPr>
        <w:t xml:space="preserve"> </w:t>
      </w:r>
      <w:r>
        <w:rPr>
          <w:b/>
          <w:i w:val="0"/>
          <w:rtl w:val="0"/>
        </w:rPr>
        <w:t xml:space="preserve">Stop comparing LLM agents without disclosing the harness</w:t>
      </w:r>
      <w:r>
        <w:rPr>
          <w:b w:val="0"/>
          <w:i w:val="0"/>
          <w:rtl w:val="0"/>
        </w:rPr>
        <w:t xml:space="preserve">. arXiv:2605.23950, 2026. </w:t>
      </w:r>
      <w:r>
        <w:rPr>
          <w:b w:val="0"/>
          <w:i/>
          <w:rtl w:val="0"/>
        </w:rPr>
        <w:t xml:space="preserve">Preprint</w:t>
      </w:r>
      <w:r>
        <w:rPr>
          <w:b w:val="0"/>
          <w:i w:val="0"/>
          <w:rtl w:val="0"/>
        </w:rPr>
        <w:t xml:space="preserve">, não revisado por pares. Disponível em: https://arxiv.org/abs/2605.23950. Acesso em: 28 ago. 2026.</w:t>
      </w:r>
    </w:p>
    <w:sectPr>
      <w:headerReference r:id="rId6" w:type="default"/>
      <w:type w:val="nextPage"/>
      <w:pgSz w:h="16838" w:w="11906" w:orient="portrait"/>
      <w:pgMar w:bottom="1134" w:top="1701" w:left="1701" w:right="1134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ungsuh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