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jc w:val="center"/>
        <w:rPr/>
      </w:pP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O </w:t>
      </w:r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HARNESS</w:t>
      </w: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 NO CUSTO E NO DESEMPENHO DE AGENTES DE CODIFICAÇÃO: TOKENS E TAXA DE SUCESSO COM O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MESMO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Cuiabá – MT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O </w:t>
      </w:r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HARNESS</w:t>
      </w: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 NO CUSTO E NO DESEMPENHO DE AGENTES DE CODIFICAÇÃO: TOKENS E TAXA DE SUCESSO COM O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MESMO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Cuiabá – MT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5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5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5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coding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agent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tem duas partes: o modelo de linguagem e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o software ao redor dele que monta o contexto, expõe as ferramentas e conduz a execução.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(2026), da Universidade da Califórnia em Berkeley, avaliaram sete modelos em três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concluíram que a escolha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influencia notavelmente o custo. No SWE-bench Lite, o Fable 5 resolve 97,8% das tentativas no Claude Code e 96,7% no Pi, e o Claude Code custa </w:t>
      </w:r>
      <w:r w:rsidDel="00000000" w:rsidR="00000000" w:rsidRPr="00000000">
        <w:rPr>
          <w:rtl w:val="0"/>
        </w:rPr>
        <w:t xml:space="preserve">aproximadamente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o dobro por tentativa (US$ 1,33 contra US$ 0,67).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Quem paga por tokens paga pagando também essa diferença. Essas medições usam tarefas isoladas de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benchmarks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que os modelos podem ter visto no treino, e os próprios autores apontam como próximo passo medir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em fluxos reais de desenvolvimento, com tarefas de várias sessões. Este projeto constrói o mesmo produto, o Finn, um </w:t>
      </w:r>
      <w:r w:rsidDel="00000000" w:rsidR="00000000" w:rsidRPr="00000000">
        <w:rPr>
          <w:rtl w:val="0"/>
        </w:rPr>
        <w:t xml:space="preserve">SaaS voltado para o setor financeiro das empresas, e ele será construído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com o OpenCode e com o Pi, sobre o mesmo modelo e a mesma especificação, e </w:t>
      </w: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conta </w:t>
      </w:r>
      <w:r w:rsidDel="00000000" w:rsidR="00000000" w:rsidRPr="00000000">
        <w:rPr>
          <w:rtl w:val="0"/>
        </w:rPr>
        <w:t xml:space="preserve">de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tokens fora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efeito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sobre o custo e o desempenho de um modelo de linguagem fixo na construção de um produto de software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Com o </w:t>
      </w:r>
      <w:r w:rsidDel="00000000" w:rsidR="00000000" w:rsidRPr="00000000">
        <w:rPr>
          <w:rtl w:val="0"/>
        </w:rPr>
        <w:t xml:space="preserve">mesmo modelo,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quanto a escolha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influencia o custo e a taxa de sucesso na construção do mesmo software?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Medir, com o </w:t>
      </w:r>
      <w:r w:rsidDel="00000000" w:rsidR="00000000" w:rsidRPr="00000000">
        <w:rPr>
          <w:rtl w:val="0"/>
        </w:rPr>
        <w:t xml:space="preserve">mesmo modelo,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diferença de tokens e de taxa de sucesso atribuível ao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na construção do mesmo produto a partir da mesma especificação, com o OpenCode e o Pi como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e separar a parcela que vem da carga fixa por requisição.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1) construir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que conta requisições, tokens e latência por </w:t>
      </w:r>
      <w:r w:rsidDel="00000000" w:rsidR="00000000" w:rsidRPr="00000000">
        <w:rPr>
          <w:i w:val="1"/>
          <w:iCs w:val="1"/>
          <w:rtl w:val="0"/>
        </w:rPr>
        <w:t xml:space="preserve">coding agent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2) construir o Finn de referência e extrair dele a especificação e os testes;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3) construir o Finn nos dois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com o mesmo modelo,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espaço inicial;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4) repetir em um segundo modelo e verificar se a ordenação dos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se mantém;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5) comparar os tokens relatados por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com os medidos no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6) publicar executor,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testes, dados e scripts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Pesquisa aplicada, quali-quantitativa, exploratória e experimental, de método dedutivo.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reverso entre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o modelo contará requisições, tokens e latência da mesma forma para os dois </w:t>
      </w:r>
      <w:r w:rsidDel="00000000" w:rsidR="00000000" w:rsidRPr="00000000">
        <w:rPr>
          <w:i w:val="1"/>
          <w:iCs w:val="1"/>
          <w:rtl w:val="0"/>
        </w:rPr>
        <w:t xml:space="preserve">coding </w:t>
      </w:r>
      <w:r w:rsidDel="00000000" w:rsidR="00000000" w:rsidRPr="00000000">
        <w:rPr>
          <w:i w:val="1"/>
          <w:iCs w:val="1"/>
          <w:rtl w:val="0"/>
        </w:rPr>
        <w:t xml:space="preserve">agents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Cada </w:t>
      </w:r>
      <w:r w:rsidDel="00000000" w:rsidR="00000000" w:rsidRPr="00000000">
        <w:rPr>
          <w:i w:val="1"/>
          <w:iCs w:val="1"/>
          <w:rtl w:val="0"/>
        </w:rPr>
        <w:t xml:space="preserve">coding </w:t>
      </w:r>
      <w:r w:rsidDel="00000000" w:rsidR="00000000" w:rsidRPr="00000000">
        <w:rPr>
          <w:i w:val="1"/>
          <w:iCs w:val="1"/>
          <w:rtl w:val="0"/>
        </w:rPr>
        <w:t xml:space="preserve">agent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construirá o Finn do zero ao menos três vezes, a partir da especificação extraída do Finn de referência do autor, e a diferença entre os </w:t>
      </w:r>
      <w:r w:rsidDel="00000000" w:rsidR="00000000" w:rsidRPr="00000000">
        <w:rPr>
          <w:i w:val="1"/>
          <w:iCs w:val="1"/>
          <w:rtl w:val="0"/>
        </w:rPr>
        <w:t xml:space="preserve">coding agents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será comparada unidade a unidade.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H1: com o modelo fixo,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muda mais o custo do que o sucesso. Os tokens por unidade diferem entre o OpenCode e o Pi, e a fração de testes aprovados fica igual. H1 será refutada se o teste pareado não apontar diferença de tokens ou se as medianas da fração final de testes aprovados diferirem entre os </w:t>
      </w:r>
      <w:r w:rsidDel="00000000" w:rsidR="00000000" w:rsidRPr="00000000">
        <w:rPr>
          <w:i w:val="1"/>
          <w:iCs w:val="1"/>
          <w:rtl w:val="0"/>
        </w:rPr>
        <w:t xml:space="preserve">coding agents.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H2: a carga fixa por requisição (</w:t>
      </w:r>
      <w:r w:rsidDel="00000000" w:rsidR="00000000" w:rsidRPr="00000000">
        <w:rPr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esquemas de ferramenta) explica a maior parte da diferença de tokens, e o número de passos explica a menor. H2 será refutada se os passos ou o conteúdo da conversa explicarem a maior parte.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Após esta introdução, a seção 2 apresenta o referencial teórico e a seção 3, o material e método. As seções 4, 5 e 6 trazem o orçamento, o cronograma e 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Segundo Ning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(2026, p. 7, tradução nossa),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Lin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delimitam o que essa camada contém: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="240" w:lineRule="auto"/>
        <w:ind w:left="2268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</w:t>
      </w: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 que molda o estilo de trabalho, as ferramentas que expõem o sistema de arquivos e o shell, e o middleware que controla contexto, execução e recuperação. Esse conjunto de componentes externos ao modelo e editáveis é chamado coletivamente de </w:t>
      </w: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 do agente. (Lin </w:t>
      </w: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, 2026, p. 1, tradução nossa).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Só esse conjunto varia entre 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deste experimento. O Pi envia quatro ferramentas e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curto (Earendil, 2026), e o OpenCode envia mais ferramentas, subagentes e permissões (Opencode, 2026a).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Na Tabela 1 de Lin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escritos por humanos sobre o GPT-5.4 vão de 47,2% de aprovação no OpenCode a 71,9% no Codex, no Terminal-Bench 2. Zhang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sustentam que, em tarefas longas e entre modelos de fronteira comparáveis, a variação de desempenho devida ao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é comparável ou maior que a devida ao modelo.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mediram outra coisa no SWE-bench Lite: o efeito médio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sobre a taxa de sucesso ficou dentro de ±2%, enquanto o Claude Code custou, em média, cerca de 2,0 vezes o Pi. Como as fontes divergem sobre o sucesso, este projeto mede sucesso e custo juntos.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primeira pendência é saber de onde vem a diferença de custo. Para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(2026), o imposto pode começar na primeira requisição: nos sete modelos, o contexto inicial médio do Claude Code passa de dez vezes o do Pi, e no Claude Fable 5 os turnos quase se igualam (15,3 contra 15,4). Liu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apontam o resto da conversa. Mudando só a execução das ações, a compactação de contexto, o tratamento das observações e a leitura delegada, cortaram de 44,7% a 49,0% dos tokens em relação ao Pi e mantiveram de 93,7% a 94,3% da pontuação dele. Ning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(2026, p. 66, tradução nossa) pedem “métricas que isolem componentes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”, e H2 testa se pesa mais a carga fixa ou a conversa.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segunda pendência é a instrumentação.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conta turnos e tokens do seu jeito, e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registram que a definição de turno varia entre eles. Aqui a medição ocorre em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externo, igual para os dois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e o objetivo (5) compara essa medida com o relato de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As métricas serão tokens por construção, ao lado da fração de testes aprovados, e o Succ/Mtok (sucessos por milhão de tokens) de Lin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(2026). O efeito também depende do modelo, pois em nove de doze comparações de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o maior sucesso veio de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que não é o do fornecedor do modelo. Por isso o desenho terá dois níveis de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pesquisa é aplicada quanto à finalidade, quali-quantitativa quanto à abordagem, exploratória quanto aos objetivos, experimental quanto aos procedimentos e dedutiva quanto ao método. É exploratória porque não se encontrou comparação publicada de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construindo o mesmo produto completo.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é a variável manipulada, e modelo, especificação, espaço de trabalho inicial e limites ficam controlados.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Declara-se o uso do Claude Code no levantamento das fontes, organizado pelo método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LLM Wiki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de Karpathy (2026) no repositório do projeto (YuukiFST, 2026c), nas decisões do Finn, mapeadas com o Helmsman (YuukiFST, 2026a), e na sua versão de referência. O autor conferiu cada afirmação citada na obra original e responde pelo texto e pelas decisões de produto.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medição terá duas camadas. A Camada 1 mede, contra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endpoint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simulado, os esquemas de ferramenta,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os tokens de cada requisição, ou seja, a carga fixa de cada </w:t>
      </w:r>
      <w:r w:rsidDel="00000000" w:rsidR="00000000" w:rsidRPr="00000000">
        <w:rPr>
          <w:i w:val="1"/>
          <w:iCs w:val="1"/>
          <w:rtl w:val="0"/>
        </w:rPr>
        <w:t xml:space="preserve">coding agent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sem tarefa. A Camada 2 mede a construção do produto contra o modelo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serão o OpenCode (Opencode, 2026a) e o Pi (Earendil, 2026). Os dois são de código aberto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As versões serão fixadas e registradas no repositório (YuukiFST, 2026c).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2026b), decidido em 21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tickets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O autor construirá antes uma versão de referência e marcará no git o fim de cada etapa. Dela sairá a especificação, congelada por SHA-256: produto, pilha, interface dos testes e funcionalidades em JSON, no formato de Young (2025), uma unidade por etapa, ao menos seis. O executor chama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uma vez por unidade, com o mesmo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nos dois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e cada unidade parte do que o agente construiu na anterior. Nenhum código do autor entra no espaço de trabalho.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pontuação será a fração dos testes de aceitação aprovados. O autor escreverá os testes antes da execução, fora do espaço de trabalho, e os rodará sobre uma cópia dele ao fim de cada unidade. Todos devem passar antes na referência, no marco da etapa. Os testes escritos pelo agente não contam, e uma unidade conta como concluída quando todos os seus testes passam.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Serão dois níveis de modelo, primário e de robustez, ambos gratuitos no mesm</w:t>
      </w: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i w:val="1"/>
          <w:iCs w:val="1"/>
          <w:rtl w:val="0"/>
        </w:rPr>
        <w:t xml:space="preserve">gateway</w:t>
      </w:r>
      <w:r w:rsidDel="00000000" w:rsidR="00000000" w:rsidRPr="00000000">
        <w:rPr>
          <w:rtl w:val="0"/>
        </w:rPr>
        <w:t xml:space="preserve"> (Opencode, 2026b), com resultados relatados por nível. Se a ordenação dos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inverter de um nível para o outro, a inversão será reportada como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guardará os tokens que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gateway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informa em cada resposta, com o cache à parte, e separará em cada requisição a carga fixa (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ferramentas) do resto da conversa, para H2. A contagem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serve só para verificação cruzada.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Haverá um único limite, igual para os dois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tempo de relógio por unidade, de três vezes a maior mediana dos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nas unidades-piloto. O número de passos fica livre, porque um teto de passos é decisão de projeto de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apagaria a diferença sob teste.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60" w:lineRule="auto"/>
        <w:ind w:firstLine="709"/>
        <w:jc w:val="both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rtl w:val="0"/>
        </w:rPr>
        <w:t xml:space="preserve">Cada combinação de </w:t>
      </w:r>
      <w:r w:rsidDel="00000000" w:rsidR="00000000" w:rsidRPr="00000000">
        <w:rPr>
          <w:i w:val="1"/>
          <w:iCs w:val="1"/>
          <w:rtl w:val="0"/>
        </w:rPr>
        <w:t xml:space="preserve">coding agent</w:t>
      </w: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rtl w:val="0"/>
        </w:rPr>
        <w:t xml:space="preserve"> e nível terá ao menos três construções completas válidas, relatadas em mediana e dispersão.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comparação usará o teste de Wilcoxon dos postos sinalizados, bilateral, α = 0,05, sobre tokens e Succ/Mtok, pareado por unidade. O pareamento remove a dificuldade comum </w:t>
      </w:r>
      <w:r w:rsidDel="00000000" w:rsidR="00000000" w:rsidRPr="00000000">
        <w:rPr>
          <w:rtl w:val="0"/>
        </w:rPr>
        <w:t xml:space="preserve">em ambos </w:t>
      </w:r>
      <w:r w:rsidDel="00000000" w:rsidR="00000000" w:rsidRPr="00000000">
        <w:rPr>
          <w:i w:val="1"/>
          <w:iCs w:val="1"/>
          <w:rtl w:val="0"/>
        </w:rPr>
        <w:t xml:space="preserve">coding agents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(Miller, 2024). O resultado principal será a razão entre as medianas de tokens por construção dos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A fração de testes aprovados será relatada sem teste, pois um empate em 100% não deixa diferença a testar. As predições serão registradas antes da coleta.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Unidade não concluída conta como resultado, com a fração de testes aprovada, e a construção segue. Medição não confiável, como a troca do modelo servido no meio da coleta, descarta a construção inteira.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projeto tem quatro limitações. O efeito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depende do modelo, então as conclusões valem por nível. O produto é um único SaaS, especificado a partir da solução do autor. Cada </w:t>
      </w:r>
      <w:r w:rsidDel="00000000" w:rsidR="00000000" w:rsidRPr="00000000">
        <w:rPr>
          <w:i w:val="1"/>
          <w:iCs w:val="1"/>
          <w:rtl w:val="0"/>
        </w:rPr>
        <w:t xml:space="preserve">coding agent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carrega os próprios erros de uma unidade à seguinte, então as unidades não são independentes, embora o teste de Wilcoxon suponha que sejam; o valor-p será lido como indicativo, ao lado da diferença e da dispersão. Por fim, o nível gratuito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gateway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pode trocar o modelo ou cortar a cota durante a coleta.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Inferência dos modelos (dois níveis, nível gratuito do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gateway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Harnesses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 e ferramentas de código aberto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Hardware (PC pessoal, NixOS)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411"/>
        <w:gridCol w:w="1220"/>
        <w:gridCol w:w="1220"/>
        <w:gridCol w:w="1220"/>
        <w:tblGridChange w:id="0">
          <w:tblGrid>
            <w:gridCol w:w="5411"/>
            <w:gridCol w:w="1220"/>
            <w:gridCol w:w="1220"/>
            <w:gridCol w:w="1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DEFINIÇÃO DO TEMA E DAS HIPÓTESES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FINN DE REFERÊNCIA, PROXY E TESTES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REVISÃO FINAL E APRESENTAÇÃO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 w:rsidR="00000000" w:rsidDel="00000000" w:rsidP="00000000" w:rsidRDefault="00000000" w:rsidRPr="00000000" w14:paraId="00000096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KARPATHY, Andrej.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LLM Wiki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pattern for building personal knowledge bases using LLMs. 2026. Gist (GitHub). Disponível em: https://gist.github.com/karpathy/442a6bf555914893e9891c11519de94f.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LIN, Jiahang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Agentic harness engineering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observability-driven automatic evolution of coding-agent harnesses. arXiv:2604.25850,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https://arxiv.org/abs/2604.25850.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LIU, Haozhe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SoL-Pi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recursively scaling auto-research loops for efficient agent harness. arXiv:2609.20519,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https://arxiv.org/abs/2609.20519. Acesso em: 23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 w:rsidR="00000000" w:rsidDel="00000000" w:rsidP="00000000" w:rsidRDefault="00000000" w:rsidRPr="00000000" w14:paraId="0000009B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OpenCode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the open source coding agent. 2026a. Repositório de código. Disponível em: https://github.com/anomalyco/opencode.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Zen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2026b. Documentação do produto. Disponível em: https://opencode.ai/docs/zen/.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PAN, Melissa Z.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HarnessTax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how much does the harness matter for coding agents? 2026. Publicação de blogue de pesquisa, não revisada por pares. Disponível em: https://harnesstax.github.io/. Acesso em: 23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YOUNG, Justin.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Effective harnesses for long-running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2025. Publicação de blogue de engenharia (Anthropic), não revisada por pares. Disponível em: https://www.anthropic.com/engineering/effective-harnesses-for-long-running-agents. Acesso em: 24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agent-dotfiles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skill Helmsman, mapa de decisões para agentes de codificação. 2026a. Repositório de código. Disponível em: https://github.com/YuukiFST/agent-dotfiles/tree/main/skills/helmsman. Acesso em: 15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Finn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SaaS universal de financeiro por voz. 2026b. Repositório de código. Disponível em: https://github.com/YuukiFST/Finn.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harness-bench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executor, prompts, testes de aceitação, dados brutos e scripts de análise deste projeto. 2026c. Repositório de código. Disponível em: https://github.com/YuukiFST/harness-bench.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ZHANG, Yunbei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Stop comparing LLM agents without disclosing the 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arXiv:2605.23950,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https://arxiv.org/abs/2605.23950. Acesso em: 28 ago. 2026.</w:t>
      </w:r>
      <w:r w:rsidDel="00000000" w:rsidR="00000000" w:rsidRPr="00000000">
        <w:rPr>
          <w:rtl w:val="0"/>
        </w:rPr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57.0" w:type="dxa"/>
        <w:bottom w:w="0.0" w:type="dxa"/>
        <w:right w:w="57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