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cs="Times New Roman"/>
          <w:b/>
          <w:i w:val="0"/>
          <w:sz w:val="24"/>
        </w:rPr>
        <w:t>INSTITUTO FEDERAL DE EDUCAÇÃO, CIÊNCIA E TECNOLOGIA</w:t>
      </w:r>
    </w:p>
    <w:p>
      <w:pPr>
        <w:spacing w:after="0" w:line="240" w:lineRule="auto"/>
        <w:jc w:val="center"/>
      </w:pPr>
      <w:r>
        <w:rPr>
          <w:rFonts w:ascii="Times New Roman" w:hAnsi="Times New Roman" w:cs="Times New Roman"/>
          <w:b/>
          <w:i w:val="0"/>
          <w:sz w:val="24"/>
        </w:rPr>
        <w:t>DE MATO GROSSO - CAMPUS OCTAYDE JORGE DA SILVA</w:t>
      </w:r>
    </w:p>
    <w:p>
      <w:pPr>
        <w:spacing w:after="0" w:line="240" w:lineRule="auto"/>
        <w:jc w:val="center"/>
      </w:pPr>
      <w:r>
        <w:rPr>
          <w:rFonts w:ascii="Times New Roman" w:hAnsi="Times New Roman" w:cs="Times New Roman"/>
          <w:b/>
          <w:i w:val="0"/>
          <w:sz w:val="24"/>
        </w:rPr>
        <w:t>DIRETORIA DE ENSINO</w:t>
      </w:r>
    </w:p>
    <w:p>
      <w:pPr>
        <w:spacing w:after="0" w:line="240" w:lineRule="auto"/>
        <w:jc w:val="center"/>
      </w:pPr>
      <w:r>
        <w:rPr>
          <w:rFonts w:ascii="Times New Roman" w:hAnsi="Times New Roman" w:cs="Times New Roman"/>
          <w:b/>
          <w:i w:val="0"/>
          <w:sz w:val="24"/>
        </w:rPr>
        <w:t>DEPARTAMENTO DE ÁREA DE INFORMÁTICA</w:t>
      </w:r>
    </w:p>
    <w:p/>
    <w:p/>
    <w:p/>
    <w:p/>
    <w:p>
      <w:pPr>
        <w:spacing w:after="0"/>
        <w:jc w:val="center"/>
      </w:pPr>
      <w:r>
        <w:rPr>
          <w:rFonts w:ascii="Times New Roman" w:hAnsi="Times New Roman" w:cs="Times New Roman"/>
          <w:b/>
          <w:i w:val="0"/>
          <w:sz w:val="28"/>
        </w:rPr>
        <w:t>FAUSTO YUUKI T.A FREIRE</w:t>
      </w:r>
    </w:p>
    <w:p/>
    <w:p/>
    <w:p/>
    <w:p/>
    <w:p/>
    <w:p/>
    <w:p>
      <w:pPr>
        <w:spacing w:line="360" w:lineRule="auto" w:after="0"/>
        <w:jc w:val="center"/>
      </w:pPr>
      <w:r>
        <w:rPr>
          <w:rFonts w:ascii="Times New Roman" w:hAnsi="Times New Roman" w:cs="Times New Roman"/>
          <w:b w:val="0"/>
          <w:i w:val="0"/>
          <w:sz w:val="32"/>
        </w:rPr>
        <w:t xml:space="preserve">O HARNESS COMO DECISÃO DO DESENVOLVEDOR: CUSTO POR TAREFA CONCLUÍDA E TAXA DE SUCESSO DE AGENTES DE CODIFICAÇÃO SOB UM MESMO MODELO</w:t>
      </w:r>
    </w:p>
    <w:p/>
    <w:p/>
    <w:p/>
    <w:p/>
    <w:p/>
    <w:p/>
    <w:p/>
    <w:p/>
    <w:p>
      <w:pPr>
        <w:spacing w:after="0" w:line="240" w:lineRule="auto"/>
        <w:jc w:val="center"/>
      </w:pPr>
      <w:r>
        <w:rPr>
          <w:rFonts w:ascii="Times New Roman" w:hAnsi="Times New Roman" w:cs="Times New Roman"/>
          <w:b w:val="0"/>
          <w:i w:val="0"/>
          <w:sz w:val="24"/>
        </w:rPr>
        <w:t>Cuiabá</w:t>
      </w:r>
    </w:p>
    <w:p>
      <w:pPr>
        <w:spacing w:after="0" w:line="240" w:lineRule="auto"/>
        <w:jc w:val="center"/>
      </w:pPr>
      <w:r>
        <w:rPr>
          <w:rFonts w:ascii="Times New Roman" w:hAnsi="Times New Roman" w:cs="Times New Roman"/>
          <w:b w:val="0"/>
          <w:i w:val="0"/>
          <w:sz w:val="24"/>
        </w:rPr>
        <w:t>2026</w:t>
      </w:r>
    </w:p>
    <w:p>
      <w:r>
        <w:br w:type="page"/>
      </w:r>
    </w:p>
    <w:p>
      <w:pPr>
        <w:spacing w:after="0"/>
        <w:jc w:val="center"/>
      </w:pPr>
      <w:r>
        <w:rPr>
          <w:rFonts w:ascii="Times New Roman" w:hAnsi="Times New Roman" w:cs="Times New Roman"/>
          <w:b/>
          <w:i w:val="0"/>
          <w:sz w:val="24"/>
        </w:rPr>
        <w:t>FAUSTO YUUKI T.A FREIRE</w:t>
      </w:r>
    </w:p>
    <w:p/>
    <w:p/>
    <w:p/>
    <w:p/>
    <w:p/>
    <w:p/>
    <w:p/>
    <w:p>
      <w:pPr>
        <w:spacing w:line="360" w:lineRule="auto" w:after="0"/>
        <w:jc w:val="center"/>
      </w:pPr>
      <w:r>
        <w:rPr>
          <w:rFonts w:ascii="Times New Roman" w:hAnsi="Times New Roman" w:cs="Times New Roman"/>
          <w:b w:val="0"/>
          <w:i w:val="0"/>
          <w:sz w:val="28"/>
        </w:rPr>
        <w:t xml:space="preserve">O HARNESS COMO DECISÃO DO DESENVOLVEDOR: CUSTO POR TAREFA CONCLUÍDA E TAXA DE SUCESSO DE AGENTES DE CODIFICAÇÃO SOB UM MESMO MODELO</w:t>
      </w:r>
    </w:p>
    <w:p/>
    <w:p/>
    <w:p/>
    <w:p/>
    <w:p>
      <w:pPr>
        <w:spacing w:line="240" w:lineRule="auto" w:after="0"/>
        <w:ind w:left="4535"/>
        <w:jc w:val="both"/>
      </w:pPr>
      <w:r>
        <w:rPr>
          <w:rFonts w:ascii="Times New Roman" w:hAnsi="Times New Roman" w:cs="Times New Roman"/>
          <w:b w:val="0"/>
          <w:i w:val="0"/>
          <w:sz w:val="24"/>
        </w:rPr>
        <w:t>Projeto de Conclusão de Curso apresentado ao Departamento de Área de Informática do Instituto Federal de Educação, Ciência e Tecnologia de Mato Grosso, Campus Octayde Jorge da Silva, como requisito parcial para a conclusão do curso de Sistemas para Internet.</w:t>
      </w:r>
    </w:p>
    <w:p>
      <w:pPr>
        <w:spacing w:line="240" w:lineRule="auto" w:before="240" w:after="0"/>
        <w:ind w:left="4535"/>
        <w:jc w:val="both"/>
      </w:pPr>
      <w:r>
        <w:rPr>
          <w:rFonts w:ascii="Times New Roman" w:hAnsi="Times New Roman" w:cs="Times New Roman"/>
          <w:b w:val="0"/>
          <w:i w:val="0"/>
          <w:sz w:val="24"/>
        </w:rPr>
        <w:t>Orientadora: Profa. Inara Silva</w:t>
      </w:r>
    </w:p>
    <w:p/>
    <w:p/>
    <w:p/>
    <w:p/>
    <w:p/>
    <w:p/>
    <w:p>
      <w:pPr>
        <w:spacing w:after="0" w:line="240" w:lineRule="auto"/>
        <w:jc w:val="center"/>
      </w:pPr>
      <w:r>
        <w:rPr>
          <w:rFonts w:ascii="Times New Roman" w:hAnsi="Times New Roman" w:cs="Times New Roman"/>
          <w:b w:val="0"/>
          <w:i w:val="0"/>
          <w:sz w:val="24"/>
        </w:rPr>
        <w:t>Cuiabá</w:t>
      </w:r>
    </w:p>
    <w:p>
      <w:pPr>
        <w:spacing w:after="0" w:line="240" w:lineRule="auto"/>
        <w:jc w:val="center"/>
      </w:pPr>
      <w:r>
        <w:rPr>
          <w:rFonts w:ascii="Times New Roman" w:hAnsi="Times New Roman" w:cs="Times New Roman"/>
          <w:b w:val="0"/>
          <w:i w:val="0"/>
          <w:sz w:val="24"/>
        </w:rPr>
        <w:t>2026</w:t>
      </w:r>
    </w:p>
    <w:p>
      <w:r>
        <w:br w:type="page"/>
      </w:r>
    </w:p>
    <w:p>
      <w:pPr>
        <w:spacing w:after="480"/>
        <w:jc w:val="center"/>
      </w:pPr>
      <w:r>
        <w:rPr>
          <w:rFonts w:ascii="Times New Roman" w:hAnsi="Times New Roman" w:cs="Times New Roman"/>
          <w:b/>
          <w:i w:val="0"/>
          <w:sz w:val="28"/>
        </w:rPr>
        <w:t>SUMÁRIO</w:t>
      </w:r>
    </w:p>
    <w:p>
      <w:pPr>
        <w:tabs>
          <w:tab w:pos="9071" w:val="right"/>
        </w:tabs>
        <w:spacing w:line="360" w:lineRule="auto" w:after="0"/>
        <w:ind w:firstLine="0"/>
      </w:pPr>
      <w:r>
        <w:rPr>
          <w:rFonts w:ascii="Times New Roman" w:hAnsi="Times New Roman" w:cs="Times New Roman"/>
          <w:b w:val="0"/>
          <w:i w:val="0"/>
          <w:sz w:val="24"/>
        </w:rPr>
        <w:t>1 INTRODUÇÃO</w:t>
        <w:tab/>
        <w:t>1</w:t>
      </w:r>
    </w:p>
    <w:p>
      <w:pPr>
        <w:tabs>
          <w:tab w:pos="9071" w:val="right"/>
        </w:tabs>
        <w:spacing w:line="360" w:lineRule="auto" w:after="0"/>
        <w:ind w:firstLine="0"/>
      </w:pPr>
      <w:r>
        <w:rPr>
          <w:rFonts w:ascii="Times New Roman" w:hAnsi="Times New Roman" w:cs="Times New Roman"/>
          <w:b w:val="0"/>
          <w:i w:val="0"/>
          <w:sz w:val="24"/>
        </w:rPr>
        <w:t>2 REFERENCIAL TEÓRICO</w:t>
        <w:tab/>
        <w:t>3</w:t>
      </w:r>
    </w:p>
    <w:p>
      <w:pPr>
        <w:tabs>
          <w:tab w:pos="9071" w:val="right"/>
        </w:tabs>
        <w:spacing w:line="360" w:lineRule="auto" w:after="0"/>
        <w:ind w:firstLine="0"/>
      </w:pPr>
      <w:r>
        <w:rPr>
          <w:rFonts w:ascii="Times New Roman" w:hAnsi="Times New Roman" w:cs="Times New Roman"/>
          <w:b w:val="0"/>
          <w:i w:val="0"/>
          <w:sz w:val="24"/>
        </w:rPr>
        <w:t>3 MATERIAL E MÉTODO</w:t>
        <w:tab/>
        <w:t>4</w:t>
      </w:r>
    </w:p>
    <w:p>
      <w:pPr>
        <w:tabs>
          <w:tab w:pos="9071" w:val="right"/>
        </w:tabs>
        <w:spacing w:line="360" w:lineRule="auto" w:after="0"/>
        <w:ind w:firstLine="0"/>
      </w:pPr>
      <w:r>
        <w:rPr>
          <w:rFonts w:ascii="Times New Roman" w:hAnsi="Times New Roman" w:cs="Times New Roman"/>
          <w:b w:val="0"/>
          <w:i w:val="0"/>
          <w:sz w:val="24"/>
        </w:rPr>
        <w:t>4 ORÇAMENTO</w:t>
        <w:tab/>
        <w:t>7</w:t>
      </w:r>
    </w:p>
    <w:p>
      <w:pPr>
        <w:tabs>
          <w:tab w:pos="9071" w:val="right"/>
        </w:tabs>
        <w:spacing w:line="360" w:lineRule="auto" w:after="0"/>
        <w:ind w:firstLine="0"/>
      </w:pPr>
      <w:r>
        <w:rPr>
          <w:rFonts w:ascii="Times New Roman" w:hAnsi="Times New Roman" w:cs="Times New Roman"/>
          <w:b w:val="0"/>
          <w:i w:val="0"/>
          <w:sz w:val="24"/>
        </w:rPr>
        <w:t>5 CRONOGRAMA</w:t>
        <w:tab/>
        <w:t>8</w:t>
      </w:r>
    </w:p>
    <w:p>
      <w:pPr>
        <w:tabs>
          <w:tab w:pos="9071" w:val="right"/>
        </w:tabs>
        <w:spacing w:line="360" w:lineRule="auto" w:after="0"/>
        <w:ind w:firstLine="0"/>
      </w:pPr>
      <w:r>
        <w:rPr>
          <w:rFonts w:ascii="Times New Roman" w:hAnsi="Times New Roman" w:cs="Times New Roman"/>
          <w:b w:val="0"/>
          <w:i w:val="0"/>
          <w:sz w:val="24"/>
        </w:rPr>
        <w:t>6 REFERÊNCIAS</w:t>
        <w:tab/>
        <w:t>8</w:t>
      </w:r>
    </w:p>
    <w:p>
      <w:pPr>
        <w:sectPr>
          <w:pgSz w:w="11906" w:h="16838"/>
          <w:pgMar w:top="1701" w:right="1134" w:bottom="1134" w:left="1701" w:header="720" w:footer="720" w:gutter="0"/>
          <w:cols w:space="720"/>
          <w:docGrid w:linePitch="360"/>
        </w:sectPr>
      </w:pPr>
    </w:p>
    <w:p>
      <w:pPr>
        <w:keepNext/>
        <w:spacing w:line="360" w:lineRule="auto" w:before="240" w:after="120"/>
        <w:ind w:firstLine="0"/>
      </w:pPr>
      <w:r>
        <w:rPr>
          <w:rFonts w:ascii="Times New Roman" w:hAnsi="Times New Roman" w:cs="Times New Roman"/>
          <w:b/>
          <w:i w:val="0"/>
          <w:sz w:val="28"/>
        </w:rPr>
        <w:t>1 INTRODUÇÃO</w:t>
      </w:r>
    </w:p>
    <w:p>
      <w:pPr>
        <w:spacing w:line="360" w:lineRule="auto" w:before="120" w:after="0"/>
        <w:ind w:firstLine="0"/>
      </w:pPr>
      <w:r>
        <w:rPr>
          <w:rFonts w:ascii="Times New Roman" w:hAnsi="Times New Roman" w:cs="Times New Roman"/>
          <w:b/>
          <w:i w:val="0"/>
          <w:sz w:val="24"/>
        </w:rPr>
        <w:t>Justificativa</w:t>
      </w:r>
    </w:p>
    <w:p>
      <w:pPr>
        <w:spacing w:line="360" w:lineRule="auto" w:before="0" w:after="0"/>
        <w:ind w:firstLine="709"/>
        <w:jc w:val="both"/>
      </w:pPr>
      <w:r>
        <w:rPr>
          <w:rFonts w:ascii="Times New Roman" w:hAnsi="Times New Roman" w:cs="Times New Roman"/>
          <w:b w:val="0"/>
          <w:i w:val="0"/>
          <w:sz w:val="24"/>
        </w:rPr>
        <w:t xml:space="preserve">A escolha do modelo domina a conversa sobre agentes de codificação, mas quem programa escolhe também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No FrontierHarness (Runta, 2026), nove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sobre um mesmo modelo ficam entre 50,0% e 66,7% de aprovação, e o custo mediano por tarefa concluída varia 17x, de US$ 1,05 a US$ 18,34.</w:t>
      </w:r>
    </w:p>
    <w:p>
      <w:pPr>
        <w:spacing w:line="360" w:lineRule="auto" w:before="0" w:after="0"/>
        <w:ind w:firstLine="709"/>
        <w:jc w:val="both"/>
      </w:pPr>
      <w:r>
        <w:rPr>
          <w:rFonts w:ascii="Times New Roman" w:hAnsi="Times New Roman" w:cs="Times New Roman"/>
          <w:b w:val="0"/>
          <w:i w:val="0"/>
          <w:sz w:val="24"/>
        </w:rPr>
        <w:t xml:space="preserve">Alier Forment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medem 139x de variação de custo entre </w:t>
      </w:r>
      <w:r>
        <w:rPr>
          <w:rFonts w:ascii="Times New Roman" w:hAnsi="Times New Roman" w:cs="Times New Roman"/>
          <w:b w:val="0"/>
          <w:i/>
          <w:sz w:val="24"/>
        </w:rPr>
        <w:t xml:space="preserve">scaffoldings</w:t>
      </w:r>
      <w:r>
        <w:rPr>
          <w:rFonts w:ascii="Times New Roman" w:hAnsi="Times New Roman" w:cs="Times New Roman"/>
          <w:b w:val="0"/>
          <w:i w:val="0"/>
          <w:sz w:val="24"/>
        </w:rPr>
        <w:t xml:space="preserve"> que concluem a mesma tarefa com o mesmo modelo. Nenhuma delas diz ao desenvolvedor o que fazer: todas contrastam ferramentas de equipes diferentes. Com a linhagem fixa, a diferença aparece antes do primeiro token: o oh-my-pi,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do pi, envia 11,4x os bytes do ascendente, 64.945 contra 5.676, medidos neste projeto. Medir quanto dessa carga chega ao resultado dá ao desenvolvedor, que hoje decide sem dado próprio, um critério de escolha, e à literatura a primeira comparação com a linhagem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mantida fixa.</w:t>
      </w:r>
    </w:p>
    <w:p>
      <w:pPr>
        <w:spacing w:line="360" w:lineRule="auto" w:before="120" w:after="0"/>
        <w:ind w:firstLine="0"/>
      </w:pPr>
      <w:r>
        <w:rPr>
          <w:rFonts w:ascii="Times New Roman" w:hAnsi="Times New Roman" w:cs="Times New Roman"/>
          <w:b/>
          <w:i w:val="0"/>
          <w:sz w:val="24"/>
        </w:rPr>
        <w:t>Tema</w:t>
      </w:r>
    </w:p>
    <w:p>
      <w:pPr>
        <w:spacing w:line="360" w:lineRule="auto" w:before="0" w:after="0"/>
        <w:ind w:firstLine="709"/>
        <w:jc w:val="both"/>
      </w:pPr>
      <w:r>
        <w:rPr>
          <w:rFonts w:ascii="Times New Roman" w:hAnsi="Times New Roman" w:cs="Times New Roman"/>
          <w:b w:val="0"/>
          <w:i w:val="0"/>
          <w:sz w:val="24"/>
        </w:rPr>
        <w:t xml:space="preserve">A escolha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como decisão de engenharia do desenvolvedor: seu efeito sobre o custo por tarefa concluída e sobre a taxa de sucesso de agentes de codificação, mantido fixo o modelo de linguagem.</w:t>
      </w:r>
    </w:p>
    <w:p>
      <w:pPr>
        <w:spacing w:line="360" w:lineRule="auto" w:before="120" w:after="0"/>
        <w:ind w:firstLine="0"/>
      </w:pPr>
      <w:r>
        <w:rPr>
          <w:rFonts w:ascii="Times New Roman" w:hAnsi="Times New Roman" w:cs="Times New Roman"/>
          <w:b/>
          <w:i w:val="0"/>
          <w:sz w:val="24"/>
        </w:rPr>
        <w:t>Problema</w:t>
      </w:r>
    </w:p>
    <w:p>
      <w:pPr>
        <w:spacing w:line="360" w:lineRule="auto" w:before="0" w:after="0"/>
        <w:ind w:firstLine="709"/>
        <w:jc w:val="both"/>
      </w:pPr>
      <w:r>
        <w:rPr>
          <w:rFonts w:ascii="Times New Roman" w:hAnsi="Times New Roman" w:cs="Times New Roman"/>
          <w:b w:val="0"/>
          <w:i w:val="0"/>
          <w:sz w:val="24"/>
        </w:rPr>
        <w:t xml:space="preserve">Para o desenvolvedor que já escolheu o modelo, quanto do custo por tarefa concluída e da taxa de sucesso do seu agente de codificação é determinado pelo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que ele adota? E quais decisões de projeto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respondem por essa diferença, de modo que ele possa agir sobre elas em vez de apenas trocar de ferramenta às cegas?</w:t>
      </w:r>
    </w:p>
    <w:p>
      <w:pPr>
        <w:spacing w:line="360" w:lineRule="auto" w:before="120" w:after="0"/>
        <w:ind w:firstLine="0"/>
      </w:pPr>
      <w:r>
        <w:rPr>
          <w:rFonts w:ascii="Times New Roman" w:hAnsi="Times New Roman" w:cs="Times New Roman"/>
          <w:b/>
          <w:i w:val="0"/>
          <w:sz w:val="24"/>
        </w:rPr>
        <w:t>Objetivo geral</w:t>
      </w:r>
    </w:p>
    <w:p>
      <w:pPr>
        <w:spacing w:line="360" w:lineRule="auto" w:before="0" w:after="0"/>
        <w:ind w:firstLine="709"/>
        <w:jc w:val="both"/>
      </w:pPr>
      <w:r>
        <w:rPr>
          <w:rFonts w:ascii="Times New Roman" w:hAnsi="Times New Roman" w:cs="Times New Roman"/>
          <w:b w:val="0"/>
          <w:i w:val="0"/>
          <w:sz w:val="24"/>
        </w:rPr>
        <w:t xml:space="preserve">Medir, com o modelo de linguagem mantido fixo, quanto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adotado determina o custo por tarefa concluída e a taxa de sucesso de um agente de codificação, isolando decisões específicas de projeto pela comparação entre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dele, e entregar o resultado como critério de escolha reproduzível pelo desenvolvedor.</w:t>
      </w:r>
    </w:p>
    <w:p>
      <w:pPr>
        <w:spacing w:line="360" w:lineRule="auto" w:before="120" w:after="0"/>
        <w:ind w:firstLine="0"/>
      </w:pPr>
      <w:r>
        <w:rPr>
          <w:rFonts w:ascii="Times New Roman" w:hAnsi="Times New Roman" w:cs="Times New Roman"/>
          <w:b/>
          <w:i w:val="0"/>
          <w:sz w:val="24"/>
        </w:rPr>
        <w:t>Objetivos específicos</w:t>
      </w:r>
    </w:p>
    <w:p>
      <w:pPr>
        <w:spacing w:line="360" w:lineRule="auto" w:before="0" w:after="0"/>
        <w:ind w:left="709" w:firstLine="0"/>
        <w:jc w:val="both"/>
      </w:pPr>
      <w:r>
        <w:rPr>
          <w:rFonts w:ascii="Times New Roman" w:hAnsi="Times New Roman" w:cs="Times New Roman"/>
          <w:b w:val="0"/>
          <w:i w:val="0"/>
          <w:sz w:val="24"/>
        </w:rPr>
        <w:t xml:space="preserve">1) construir um instrumento de medição externo aos </w:t>
      </w:r>
      <w:r>
        <w:rPr>
          <w:rFonts w:ascii="Times New Roman" w:hAnsi="Times New Roman" w:cs="Times New Roman"/>
          <w:b w:val="0"/>
          <w:i/>
          <w:sz w:val="24"/>
        </w:rPr>
        <w:t>harnesses</w:t>
      </w:r>
      <w:r>
        <w:rPr>
          <w:rFonts w:ascii="Times New Roman" w:hAnsi="Times New Roman" w:cs="Times New Roman"/>
          <w:b w:val="0"/>
          <w:i w:val="0"/>
          <w:sz w:val="24"/>
        </w:rPr>
        <w:t>, capaz de contabilizar de forma idêntica, para todos eles, o número de requisições ao modelo, os tokens de entrada e de saída e a latência por requisição;</w:t>
      </w:r>
    </w:p>
    <w:p>
      <w:pPr>
        <w:spacing w:line="360" w:lineRule="auto" w:before="0" w:after="0"/>
        <w:ind w:left="709" w:firstLine="0"/>
        <w:jc w:val="both"/>
      </w:pPr>
      <w:r>
        <w:rPr>
          <w:rFonts w:ascii="Times New Roman" w:hAnsi="Times New Roman" w:cs="Times New Roman"/>
          <w:b w:val="0"/>
          <w:i w:val="0"/>
          <w:sz w:val="24"/>
        </w:rPr>
        <w:t>2) definir uma suíte de tarefas de programação com objetivos numerados e crédito parcial, acompanhada de um oráculo automatizado independente dos testes produzidos pelo próprio agente;</w:t>
      </w:r>
    </w:p>
    <w:p>
      <w:pPr>
        <w:spacing w:line="360" w:lineRule="auto" w:before="0" w:after="0"/>
        <w:ind w:left="709" w:firstLine="0"/>
        <w:jc w:val="both"/>
      </w:pPr>
      <w:r>
        <w:rPr>
          <w:rFonts w:ascii="Times New Roman" w:hAnsi="Times New Roman" w:cs="Times New Roman"/>
          <w:b w:val="0"/>
          <w:i w:val="0"/>
          <w:sz w:val="24"/>
        </w:rPr>
        <w:t xml:space="preserve">3) implementar um </w:t>
      </w:r>
      <w:r>
        <w:rPr>
          <w:rFonts w:ascii="Times New Roman" w:hAnsi="Times New Roman" w:cs="Times New Roman"/>
          <w:b w:val="0"/>
          <w:i/>
          <w:sz w:val="24"/>
        </w:rPr>
        <w:t>harness</w:t>
      </w:r>
      <w:r>
        <w:rPr>
          <w:rFonts w:ascii="Times New Roman" w:hAnsi="Times New Roman" w:cs="Times New Roman"/>
          <w:b w:val="0"/>
          <w:i w:val="0"/>
          <w:sz w:val="24"/>
        </w:rPr>
        <w:t xml:space="preserve"> mínimo de referência, em laço ReAct, como controle científico do experimento;</w:t>
      </w:r>
    </w:p>
    <w:p>
      <w:pPr>
        <w:spacing w:line="360" w:lineRule="auto" w:before="0" w:after="0"/>
        <w:ind w:left="709" w:firstLine="0"/>
        <w:jc w:val="both"/>
      </w:pPr>
      <w:r>
        <w:rPr>
          <w:rFonts w:ascii="Times New Roman" w:hAnsi="Times New Roman" w:cs="Times New Roman"/>
          <w:b w:val="0"/>
          <w:i w:val="0"/>
          <w:sz w:val="24"/>
        </w:rPr>
        <w:t xml:space="preserve">4) executar a mesma suíte, com o mesmo modelo, em todos os </w:t>
      </w:r>
      <w:r>
        <w:rPr>
          <w:rFonts w:ascii="Times New Roman" w:hAnsi="Times New Roman" w:cs="Times New Roman"/>
          <w:b w:val="0"/>
          <w:i/>
          <w:sz w:val="24"/>
        </w:rPr>
        <w:t>harnesses</w:t>
      </w:r>
      <w:r>
        <w:rPr>
          <w:rFonts w:ascii="Times New Roman" w:hAnsi="Times New Roman" w:cs="Times New Roman"/>
          <w:b w:val="0"/>
          <w:i w:val="0"/>
          <w:sz w:val="24"/>
        </w:rPr>
        <w:t xml:space="preserve"> avaliados, repetindo cada condição e reportando dispersão;</w:t>
      </w:r>
    </w:p>
    <w:p>
      <w:pPr>
        <w:spacing w:line="360" w:lineRule="auto" w:before="0" w:after="0"/>
        <w:ind w:left="709" w:firstLine="0"/>
        <w:jc w:val="both"/>
      </w:pPr>
      <w:r>
        <w:rPr>
          <w:rFonts w:ascii="Times New Roman" w:hAnsi="Times New Roman" w:cs="Times New Roman"/>
          <w:b w:val="0"/>
          <w:i w:val="0"/>
          <w:sz w:val="24"/>
        </w:rPr>
        <w:t xml:space="preserve">5) repetir o experimento em um segundo modelo, verificando se a ordenação entre </w:t>
      </w:r>
      <w:r>
        <w:rPr>
          <w:rFonts w:ascii="Times New Roman" w:hAnsi="Times New Roman" w:cs="Times New Roman"/>
          <w:b w:val="0"/>
          <w:i/>
          <w:sz w:val="24"/>
        </w:rPr>
        <w:t>harnesses</w:t>
      </w:r>
      <w:r>
        <w:rPr>
          <w:rFonts w:ascii="Times New Roman" w:hAnsi="Times New Roman" w:cs="Times New Roman"/>
          <w:b w:val="0"/>
          <w:i w:val="0"/>
          <w:sz w:val="24"/>
        </w:rPr>
        <w:t xml:space="preserve"> se mantém ou se inverte;</w:t>
      </w:r>
    </w:p>
    <w:p>
      <w:pPr>
        <w:spacing w:line="360" w:lineRule="auto" w:before="0" w:after="0"/>
        <w:ind w:left="709" w:firstLine="0"/>
        <w:jc w:val="both"/>
      </w:pPr>
      <w:r>
        <w:rPr>
          <w:rFonts w:ascii="Times New Roman" w:hAnsi="Times New Roman" w:cs="Times New Roman"/>
          <w:b w:val="0"/>
          <w:i w:val="0"/>
          <w:sz w:val="24"/>
        </w:rPr>
        <w:t xml:space="preserve">6) quantificar a divergência entre o custo relatado por cada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o custo efetivamente medido no instrumento externo, que é o que o desenvolvedor paga;</w:t>
      </w:r>
    </w:p>
    <w:p>
      <w:pPr>
        <w:spacing w:line="360" w:lineRule="auto" w:before="0" w:after="0"/>
        <w:ind w:left="709" w:firstLine="0"/>
        <w:jc w:val="both"/>
      </w:pPr>
      <w:r>
        <w:rPr>
          <w:rFonts w:ascii="Times New Roman" w:hAnsi="Times New Roman" w:cs="Times New Roman"/>
          <w:b w:val="0"/>
          <w:i w:val="0"/>
          <w:sz w:val="24"/>
        </w:rPr>
        <w:t xml:space="preserve">7) publicar o </w:t>
      </w:r>
      <w:r>
        <w:rPr>
          <w:rFonts w:ascii="Times New Roman" w:hAnsi="Times New Roman" w:cs="Times New Roman"/>
          <w:b w:val="0"/>
          <w:i/>
          <w:sz w:val="24"/>
        </w:rPr>
        <w:t xml:space="preserve">runner</w:t>
      </w:r>
      <w:r>
        <w:rPr>
          <w:rFonts w:ascii="Times New Roman" w:hAnsi="Times New Roman" w:cs="Times New Roman"/>
          <w:b w:val="0"/>
          <w:i w:val="0"/>
          <w:sz w:val="24"/>
        </w:rPr>
        <w:t xml:space="preserve">, os dados brutos e os scripts de análise, com um procedimento que o desenvolvedor reexecute na própria máquina a custo monetário zero.</w:t>
      </w:r>
    </w:p>
    <w:p>
      <w:pPr>
        <w:spacing w:line="360" w:lineRule="auto" w:before="120" w:after="0"/>
        <w:ind w:firstLine="0"/>
      </w:pPr>
      <w:r>
        <w:rPr>
          <w:rFonts w:ascii="Times New Roman" w:hAnsi="Times New Roman" w:cs="Times New Roman"/>
          <w:b/>
          <w:i w:val="0"/>
          <w:sz w:val="24"/>
        </w:rPr>
        <w:t>Metodologia</w:t>
      </w:r>
    </w:p>
    <w:p>
      <w:pPr>
        <w:spacing w:line="360" w:lineRule="auto" w:before="0" w:after="0"/>
        <w:ind w:firstLine="709"/>
        <w:jc w:val="both"/>
      </w:pPr>
      <w:r>
        <w:rPr>
          <w:rFonts w:ascii="Times New Roman" w:hAnsi="Times New Roman" w:cs="Times New Roman"/>
          <w:b w:val="0"/>
          <w:i w:val="0"/>
          <w:sz w:val="24"/>
        </w:rPr>
        <w:t xml:space="preserve">A pesquisa é aplicada, quali-quantitativa, exploratória e experimental, e o método é dedutivo, porque parte de hipóteses declaradas e as submete a teste. Os dados são coletados por um instrumento próprio, um proxy reverso interposto entre cada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o modelo, que conta requisições, tokens e latência da mesma forma para todos os braços. Cada par de braço e tarefa é executado ao menos três vezes sobre uma suíte fixa do DeepSWE, e a comparação é feita por teste pareado sobre o Succ/Mtok de cada tarefa. Espera-se obter a diferença de custo por tarefa concluída e de taxa de sucesso atribuível ao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em forma utilizável por quem escolhe a ferramenta. A seção 3 detalha material, método e tratamento estatístico.</w:t>
      </w:r>
    </w:p>
    <w:p>
      <w:pPr>
        <w:spacing w:line="360" w:lineRule="auto" w:before="120" w:after="0"/>
        <w:ind w:firstLine="0"/>
      </w:pPr>
      <w:r>
        <w:rPr>
          <w:rFonts w:ascii="Times New Roman" w:hAnsi="Times New Roman" w:cs="Times New Roman"/>
          <w:b/>
          <w:i w:val="0"/>
          <w:sz w:val="24"/>
        </w:rPr>
        <w:t>Hipótese</w:t>
      </w:r>
    </w:p>
    <w:p>
      <w:pPr>
        <w:spacing w:line="360" w:lineRule="auto" w:before="0" w:after="0"/>
        <w:ind w:firstLine="709"/>
        <w:jc w:val="both"/>
      </w:pPr>
      <w:r>
        <w:rPr>
          <w:rFonts w:ascii="Times New Roman" w:hAnsi="Times New Roman" w:cs="Times New Roman"/>
          <w:b w:val="0"/>
          <w:i w:val="0"/>
          <w:sz w:val="24"/>
        </w:rPr>
        <w:t xml:space="preserve">H1 —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distintos executando o mesmo modelo, a diferença de custo por tarefa concluída é de ordem prática relevante para quem paga a conta, comparável à diferença obtida ao se trocar de modelo sob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fixo. H1 é refutada se os intervalos de Succ/Mtok dos braços se sobrepuserem ao longo de toda a suíte.</w:t>
      </w:r>
    </w:p>
    <w:p>
      <w:pPr>
        <w:spacing w:line="360" w:lineRule="auto" w:before="0" w:after="0"/>
        <w:ind w:firstLine="709"/>
        <w:jc w:val="both"/>
      </w:pPr>
      <w:r>
        <w:rPr>
          <w:rFonts w:ascii="Times New Roman" w:hAnsi="Times New Roman" w:cs="Times New Roman"/>
          <w:b w:val="0"/>
          <w:i w:val="0"/>
          <w:sz w:val="24"/>
        </w:rPr>
        <w:t xml:space="preserve">H2 — Essa diferença persiste entre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dele, o que indicaria que ela é produzida por decisões de projeto isoláveis (prompt de sistema, número e tamanho dos esquemas de ferramenta, política de compactação de contexto), e não pela qualidade geral da ferramenta nem pelo acúmulo de diferenças entre bases de código independentes. H2 é refutada se pi e oh-my-pi não diferirem significativamente em Succ/Mtok, apesar dos 11,4x de diferença na carga da primeira requisição medidos neste projeto. Esse desfecho é possível e seria, ele próprio, um achado a reportar. Uma carga 11,4x maior não implica resultado pior, pois o oh-my-pi pode recuperar o custo concluindo a tarefa em menos passos.</w:t>
      </w:r>
    </w:p>
    <w:p>
      <w:pPr>
        <w:spacing w:line="360" w:lineRule="auto" w:before="0" w:after="0"/>
        <w:ind w:firstLine="709"/>
        <w:jc w:val="both"/>
      </w:pPr>
      <w:r>
        <w:rPr>
          <w:rFonts w:ascii="Times New Roman" w:hAnsi="Times New Roman" w:cs="Times New Roman"/>
          <w:b w:val="0"/>
          <w:i w:val="0"/>
          <w:sz w:val="24"/>
        </w:rPr>
        <w:t>Este trabalho segue as normas do curso (IFMT, 2022) e as da ABNT (2023, 2025a, 2025b), e está organizado em seis seções. Esta introdução apresenta a justificativa, o tema, o problema, os objetivos, a metodologia e as hipóteses. A seção 2 posiciona o trabalho na literatura e delimita as pendências que ele se propõe a resolver. A seção 3 descreve o material e o método: classificação da pesquisa, camadas de medição, braços, suíte de tarefas, limites, tratamento estatístico, resultados preliminares do instrumento e limitações. A seção 4 apresenta o orçamento, a seção 5 o cronograma, e a seção 6 reúne as referências.</w:t>
      </w:r>
    </w:p>
    <w:p>
      <w:pPr>
        <w:keepNext/>
        <w:spacing w:line="360" w:lineRule="auto" w:before="240" w:after="120"/>
        <w:ind w:firstLine="0"/>
      </w:pPr>
      <w:r>
        <w:rPr>
          <w:rFonts w:ascii="Times New Roman" w:hAnsi="Times New Roman" w:cs="Times New Roman"/>
          <w:b/>
          <w:i w:val="0"/>
          <w:sz w:val="28"/>
        </w:rPr>
        <w:t>2 REFERENCIAL TEÓRICO</w:t>
      </w:r>
    </w:p>
    <w:p>
      <w:pPr>
        <w:spacing w:line="360" w:lineRule="auto" w:before="0" w:after="0"/>
        <w:ind w:firstLine="709"/>
        <w:jc w:val="both"/>
      </w:pPr>
      <w:r>
        <w:rPr>
          <w:rFonts w:ascii="Times New Roman" w:hAnsi="Times New Roman" w:cs="Times New Roman"/>
          <w:b w:val="0"/>
          <w:i w:val="0"/>
          <w:sz w:val="24"/>
        </w:rPr>
        <w:t xml:space="preserve">Segundo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§2, tradução nossa),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“converte um modelo de linguagem sem estado em um agente funcional ao ancorar suas saídas em execução externa, estado persistente e realimentação verificável”. Wang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descrevem a mesma camada pelo que ela faz: monta os prompts, gerencia o estado, invoca as ferramentas e coordena o laço. É ela que muda quando o desenvolvedor troca de ferramenta e mantém o modelo, e os braços vão de um laço ReAct mínimo (Yao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2022) a implementações com planejamento, compactação e subagentes.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delimitam o que, exatamente, essa camada contém:</w:t>
      </w:r>
    </w:p>
    <w:p>
      <w:pPr>
        <w:spacing w:line="240" w:lineRule="auto" w:before="240" w:after="240"/>
        <w:ind w:left="2268" w:firstLine="0"/>
        <w:jc w:val="both"/>
      </w:pPr>
      <w:r>
        <w:rPr>
          <w:rFonts w:ascii="Times New Roman" w:hAnsi="Times New Roman" w:cs="Times New Roman"/>
          <w:b w:val="0"/>
          <w:i w:val="0"/>
          <w:sz w:val="20"/>
        </w:rPr>
        <w:t xml:space="preserve">Na prática, esse progresso depende não apenas do modelo de linguagem subjacente, mas igualmente dos componentes de engenharia que o cercam: o prompt de sistema que molda o estilo de trabalho, as ferramentas que expõem o sistema de arquivos e o shell, e o middleware que controla contexto, execução e recuperação. Esse conjunto de componentes externos ao modelo e editáveis é chamado coletivamente de harness do agente. (Lin </w:t>
      </w:r>
      <w:r>
        <w:rPr>
          <w:rFonts w:ascii="Times New Roman" w:hAnsi="Times New Roman" w:cs="Times New Roman"/>
          <w:b w:val="0"/>
          <w:i/>
          <w:sz w:val="20"/>
        </w:rPr>
        <w:t xml:space="preserve">et al.</w:t>
      </w:r>
      <w:r>
        <w:rPr>
          <w:rFonts w:ascii="Times New Roman" w:hAnsi="Times New Roman" w:cs="Times New Roman"/>
          <w:b w:val="0"/>
          <w:i w:val="0"/>
          <w:sz w:val="20"/>
        </w:rPr>
        <w:t xml:space="preserve">, 2026, §1, tradução nossa).</w:t>
      </w:r>
    </w:p>
    <w:p>
      <w:pPr>
        <w:spacing w:line="360" w:lineRule="auto" w:before="0" w:after="0"/>
        <w:ind w:firstLine="709"/>
        <w:jc w:val="both"/>
      </w:pPr>
      <w:r>
        <w:rPr>
          <w:rFonts w:ascii="Times New Roman" w:hAnsi="Times New Roman" w:cs="Times New Roman"/>
          <w:b w:val="0"/>
          <w:i w:val="0"/>
          <w:sz w:val="24"/>
        </w:rPr>
        <w:t xml:space="preserve">É esse conjunto, e apenas ele, que varia entre os braços deste experimento, com o modelo mantido fixo.</w:t>
      </w:r>
    </w:p>
    <w:p>
      <w:pPr>
        <w:spacing w:line="360" w:lineRule="auto" w:before="0" w:after="0"/>
        <w:ind w:firstLine="709"/>
        <w:jc w:val="both"/>
      </w:pPr>
      <w:r>
        <w:rPr>
          <w:rFonts w:ascii="Times New Roman" w:hAnsi="Times New Roman" w:cs="Times New Roman"/>
          <w:b w:val="0"/>
          <w:i w:val="0"/>
          <w:sz w:val="24"/>
        </w:rPr>
        <w:t xml:space="preserve">A interface entre modelo e ambiente é objeto de projeto desde Yang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(2024). Que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importa já está estabelecido: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medem 24,7 pontos percentuais de dispersão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humanos sobre um modelo congelado, e Zhang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enunciam a </w:t>
      </w:r>
      <w:r>
        <w:rPr>
          <w:rFonts w:ascii="Times New Roman" w:hAnsi="Times New Roman" w:cs="Times New Roman"/>
          <w:b w:val="0"/>
          <w:i/>
          <w:sz w:val="24"/>
        </w:rPr>
        <w:t xml:space="preserve">Binding Constraint Thesis</w:t>
      </w:r>
      <w:r>
        <w:rPr>
          <w:rFonts w:ascii="Times New Roman" w:hAnsi="Times New Roman" w:cs="Times New Roman"/>
          <w:b w:val="0"/>
          <w:i w:val="0"/>
          <w:sz w:val="24"/>
        </w:rPr>
        <w:t xml:space="preserve">, segundo a qual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determina o desempenho mais que o modelo que encapsula. Em Alier Forment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os dois </w:t>
      </w:r>
      <w:r>
        <w:rPr>
          <w:rFonts w:ascii="Times New Roman" w:hAnsi="Times New Roman" w:cs="Times New Roman"/>
          <w:b w:val="0"/>
          <w:i/>
          <w:sz w:val="24"/>
        </w:rPr>
        <w:t xml:space="preserve">scaffoldings</w:t>
      </w:r>
      <w:r>
        <w:rPr>
          <w:rFonts w:ascii="Times New Roman" w:hAnsi="Times New Roman" w:cs="Times New Roman"/>
          <w:b w:val="0"/>
          <w:i w:val="0"/>
          <w:sz w:val="24"/>
        </w:rPr>
        <w:t xml:space="preserve"> sem suporte a MCP saíram de 5,0x a 28x mais baratos que os cinco que o suportam. Somam-se três fontes não revisadas por pares: o HarnessRank (2026), o FrontierHarness (Runta, 2026) e o estudo da Databricks, que registra custo por tarefa variando mais de 2x sem mudança de qualidade (Databricks, 2026 </w:t>
      </w:r>
      <w:r>
        <w:rPr>
          <w:rFonts w:ascii="Times New Roman" w:hAnsi="Times New Roman" w:cs="Times New Roman"/>
          <w:b w:val="0"/>
          <w:i/>
          <w:sz w:val="24"/>
        </w:rPr>
        <w:t xml:space="preserve">apud</w:t>
      </w:r>
      <w:r>
        <w:rPr>
          <w:rFonts w:ascii="Times New Roman" w:hAnsi="Times New Roman" w:cs="Times New Roman"/>
          <w:b w:val="0"/>
          <w:i w:val="0"/>
          <w:sz w:val="24"/>
        </w:rPr>
        <w:t xml:space="preserve"> Earendil, 2026).</w:t>
      </w:r>
    </w:p>
    <w:p>
      <w:pPr>
        <w:spacing w:line="360" w:lineRule="auto" w:before="0" w:after="0"/>
        <w:ind w:firstLine="709"/>
        <w:jc w:val="both"/>
      </w:pPr>
      <w:r>
        <w:rPr>
          <w:rFonts w:ascii="Times New Roman" w:hAnsi="Times New Roman" w:cs="Times New Roman"/>
          <w:b w:val="0"/>
          <w:i w:val="0"/>
          <w:sz w:val="24"/>
        </w:rPr>
        <w:t xml:space="preserve">A primeira pendência é de atribuição. Toda comparação publicada contrasta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de equipes diferentes sobre fundações diferentes, e a dispersão medida agrega prompt, ferramentas, gestão de contexto e desenho do laço sem separá-los: o desenvolvedor sabe qual ferramenta ganhou, não o que a fez ganhar.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nomeiam a lacuna em §5.2.1 e pedem, em §5.2.7, “métricas que isolem componentes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(Ning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tradução nossa). Essas decisões são isoláveis: Lee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otimizam o código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e ganham 7,7 pontos usando 4x menos tokens de contexto. O par pi / oh-my-pi responde a §5.2.7 pelo lado do controle: um </w:t>
      </w:r>
      <w:r>
        <w:rPr>
          <w:rFonts w:ascii="Times New Roman" w:hAnsi="Times New Roman" w:cs="Times New Roman"/>
          <w:b w:val="0"/>
          <w:i/>
          <w:sz w:val="24"/>
        </w:rPr>
        <w:t xml:space="preserve">fork</w:t>
      </w:r>
      <w:r>
        <w:rPr>
          <w:rFonts w:ascii="Times New Roman" w:hAnsi="Times New Roman" w:cs="Times New Roman"/>
          <w:b w:val="0"/>
          <w:i w:val="0"/>
          <w:sz w:val="24"/>
        </w:rPr>
        <w:t xml:space="preserve"> direto mantém a linhagem fixa e faz variar apenas as modificações.</w:t>
      </w:r>
    </w:p>
    <w:p>
      <w:pPr>
        <w:spacing w:line="360" w:lineRule="auto" w:before="0" w:after="0"/>
        <w:ind w:firstLine="709"/>
        <w:jc w:val="both"/>
      </w:pPr>
      <w:r>
        <w:rPr>
          <w:rFonts w:ascii="Times New Roman" w:hAnsi="Times New Roman" w:cs="Times New Roman"/>
          <w:b w:val="0"/>
          <w:i w:val="0"/>
          <w:sz w:val="24"/>
        </w:rPr>
        <w:t xml:space="preserve">A segunda pendência é de instrumentação, e atinge o desenvolvedor diretamente: ele decide pelo relatório da própria ferramenta. O que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relata sobre o próprio custo diverge do que ele gasta, e cada um omite um conjunto diferente de chamadas reais ao modelo.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(2024) mostram que a avaliação de agentes ignora o custo e por isso erra sobre a origem dos ganhos, e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(2025) registram que as avaliações raramente relatam custo e que comparações entre </w:t>
      </w:r>
      <w:r>
        <w:rPr>
          <w:rFonts w:ascii="Times New Roman" w:hAnsi="Times New Roman" w:cs="Times New Roman"/>
          <w:b w:val="0"/>
          <w:i/>
          <w:sz w:val="24"/>
        </w:rPr>
        <w:t xml:space="preserve">harnesses</w:t>
      </w:r>
      <w:r>
        <w:rPr>
          <w:rFonts w:ascii="Times New Roman" w:hAnsi="Times New Roman" w:cs="Times New Roman"/>
          <w:b w:val="0"/>
          <w:i w:val="0"/>
          <w:sz w:val="24"/>
        </w:rPr>
        <w:t xml:space="preserve"> são raras. Por isso a medição ocorre em proxy externo, e o objetivo (6) quantifica essa divergência.</w:t>
      </w:r>
    </w:p>
    <w:p>
      <w:pPr>
        <w:spacing w:line="360" w:lineRule="auto" w:before="0" w:after="0"/>
        <w:ind w:firstLine="709"/>
        <w:jc w:val="both"/>
      </w:pPr>
      <w:r>
        <w:rPr>
          <w:rFonts w:ascii="Times New Roman" w:hAnsi="Times New Roman" w:cs="Times New Roman"/>
          <w:b w:val="0"/>
          <w:i w:val="0"/>
          <w:sz w:val="24"/>
        </w:rPr>
        <w:t xml:space="preserve">A métrica primária é o Succ/Mtok (sucesso por milhão de tokens), de Lin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(2026), a razão que interessa a quem paga a conta. Sobre ela pesa uma ressalva permanente, a de que o efeito é específico do modelo e pode inverter de sinal. No </w:t>
      </w:r>
      <w:r>
        <w:rPr>
          <w:rFonts w:ascii="Times New Roman" w:hAnsi="Times New Roman" w:cs="Times New Roman"/>
          <w:b w:val="0"/>
          <w:i/>
          <w:sz w:val="24"/>
        </w:rPr>
        <w:t xml:space="preserve">Holistic Agent Leaderboard</w:t>
      </w:r>
      <w:r>
        <w:rPr>
          <w:rFonts w:ascii="Times New Roman" w:hAnsi="Times New Roman" w:cs="Times New Roman"/>
          <w:b w:val="0"/>
          <w:i w:val="0"/>
          <w:sz w:val="24"/>
        </w:rPr>
        <w:t xml:space="preserve">, os modelos da Anthropic vão melhor com o BrowserUse e os da OpenAI com o SeeAct sobre o mesmo </w:t>
      </w:r>
      <w:r>
        <w:rPr>
          <w:rFonts w:ascii="Times New Roman" w:hAnsi="Times New Roman" w:cs="Times New Roman"/>
          <w:b w:val="0"/>
          <w:i/>
          <w:sz w:val="24"/>
        </w:rPr>
        <w:t xml:space="preserve">benchmark</w:t>
      </w:r>
      <w:r>
        <w:rPr>
          <w:rFonts w:ascii="Times New Roman" w:hAnsi="Times New Roman" w:cs="Times New Roman"/>
          <w:b w:val="0"/>
          <w:i w:val="0"/>
          <w:sz w:val="24"/>
        </w:rPr>
        <w:t xml:space="preserve"> (Kapoor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2025), e o FrontierHarness registra aproveitamento de cache ponderado por tokens caindo a 25,0% contra uma mediana de 67,8% (Runta, 2026). Por isso o desenho carrega dois níveis, e as conclusões são enunciadas por nível.</w:t>
      </w:r>
    </w:p>
    <w:p>
      <w:pPr>
        <w:keepNext/>
        <w:spacing w:line="360" w:lineRule="auto" w:before="240" w:after="120"/>
        <w:ind w:firstLine="0"/>
      </w:pPr>
      <w:r>
        <w:rPr>
          <w:rFonts w:ascii="Times New Roman" w:hAnsi="Times New Roman" w:cs="Times New Roman"/>
          <w:b/>
          <w:i w:val="0"/>
          <w:sz w:val="28"/>
        </w:rPr>
        <w:t>3 MATERIAL E MÉTODO</w:t>
      </w:r>
    </w:p>
    <w:p>
      <w:pPr>
        <w:spacing w:line="360" w:lineRule="auto" w:before="0" w:after="0"/>
        <w:ind w:firstLine="709"/>
        <w:jc w:val="both"/>
      </w:pPr>
      <w:r>
        <w:rPr>
          <w:rFonts w:ascii="Times New Roman" w:hAnsi="Times New Roman" w:cs="Times New Roman"/>
          <w:b w:val="0"/>
          <w:i w:val="0"/>
          <w:sz w:val="24"/>
        </w:rPr>
        <w:t xml:space="preserve">Quanto à finalidade, esta é uma pesquisa aplicada: seu produto é um critério de escolha que um desenvolvedor pode aplicar hoje. Quanto à abordagem, é quali-quantitativa: as medidas de custo e de sucesso são quantitativas, e a atribuição de cada diferença a uma decisão de projeto do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é qualitativa. Quanto aos objetivos, é exploratória, porque a comparação com linhagem de </w:t>
      </w:r>
      <w:r>
        <w:rPr>
          <w:rFonts w:ascii="Times New Roman" w:hAnsi="Times New Roman" w:cs="Times New Roman"/>
          <w:b w:val="0"/>
          <w:i/>
          <w:sz w:val="24"/>
        </w:rPr>
        <w:t xml:space="preserve">harness</w:t>
      </w:r>
      <w:r>
        <w:rPr>
          <w:rFonts w:ascii="Times New Roman" w:hAnsi="Times New Roman" w:cs="Times New Roman"/>
          <w:b w:val="0"/>
          <w:i w:val="0"/>
          <w:sz w:val="24"/>
        </w:rPr>
        <w:t xml:space="preserve"> fixa não tem precedente publicado. Quanto aos procedimentos, é experimental: há variável independente manipulada (o </w:t>
      </w:r>
      <w:r>
        <w:rPr>
          <w:rFonts w:ascii="Times New Roman" w:hAnsi="Times New Roman" w:cs="Times New Roman"/>
          <w:b w:val="0"/>
          <w:i/>
          <w:sz w:val="24"/>
        </w:rPr>
        <w:t xml:space="preserve">harness</w:t>
      </w:r>
      <w:r>
        <w:rPr>
          <w:rFonts w:ascii="Times New Roman" w:hAnsi="Times New Roman" w:cs="Times New Roman"/>
          <w:b w:val="0"/>
          <w:i w:val="0"/>
          <w:sz w:val="24"/>
        </w:rPr>
        <w:t xml:space="preserve">), variáveis controladas (modelo, tarefa e limites) e um grupo de controle. Quanto ao método, é dedutivo, porque parte de hipóteses declaradas antes da coleta e as submete a teste (Gil, 2022; Prodanov; Freitas, 2013).</w:t>
      </w:r>
    </w:p>
    <w:p>
      <w:pPr>
        <w:spacing w:line="360" w:lineRule="auto" w:before="0" w:after="0"/>
        <w:ind w:firstLine="709"/>
        <w:jc w:val="both"/>
      </w:pPr>
      <w:r>
        <w:rPr>
          <w:rFonts w:ascii="Times New Roman" w:hAnsi="Times New Roman" w:cs="Times New Roman"/>
          <w:b w:val="0"/>
          <w:i w:val="0"/>
          <w:sz w:val="24"/>
        </w:rPr>
        <w:t xml:space="preserve">A medição ocorre em duas camadas, cada uma relatada em separado. A Camada 1 mede a forma da requisição contra um endpoint simulado que não encaminha nada ao modelo: não consome cota, é determinística e nomeia o mecanismo. A Camada 2 mede o desfecho das tarefas contra o modelo real: consome cota, é estocástica e mostra o efeito. Um </w:t>
      </w:r>
      <w:r>
        <w:rPr>
          <w:rFonts w:ascii="Times New Roman" w:hAnsi="Times New Roman" w:cs="Times New Roman"/>
          <w:b w:val="0"/>
          <w:i/>
          <w:sz w:val="24"/>
        </w:rPr>
        <w:t>harness</w:t>
      </w:r>
      <w:r>
        <w:rPr>
          <w:rFonts w:ascii="Times New Roman" w:hAnsi="Times New Roman" w:cs="Times New Roman"/>
          <w:b w:val="0"/>
          <w:i w:val="0"/>
          <w:sz w:val="24"/>
        </w:rPr>
        <w:t xml:space="preserve"> que envia 11,4x os bytes não é, por isso, 11,4x pior.</w:t>
      </w:r>
    </w:p>
    <w:p>
      <w:pPr>
        <w:spacing w:line="360" w:lineRule="auto" w:before="0" w:after="0"/>
        <w:ind w:firstLine="709"/>
        <w:jc w:val="both"/>
      </w:pPr>
      <w:r>
        <w:rPr>
          <w:rFonts w:ascii="Times New Roman" w:hAnsi="Times New Roman" w:cs="Times New Roman"/>
          <w:b w:val="0"/>
          <w:i w:val="0"/>
          <w:sz w:val="24"/>
        </w:rPr>
        <w:t xml:space="preserve">O conjunto de braços é provisório até o fechamento das verificações de confiabilidade. São o </w:t>
      </w:r>
      <w:r>
        <w:rPr>
          <w:rFonts w:ascii="Times New Roman" w:hAnsi="Times New Roman" w:cs="Times New Roman"/>
          <w:b w:val="0"/>
          <w:i/>
          <w:sz w:val="24"/>
        </w:rPr>
        <w:t>harness</w:t>
      </w:r>
      <w:r>
        <w:rPr>
          <w:rFonts w:ascii="Times New Roman" w:hAnsi="Times New Roman" w:cs="Times New Roman"/>
          <w:b w:val="0"/>
          <w:i w:val="0"/>
          <w:sz w:val="24"/>
        </w:rPr>
        <w:t xml:space="preserve"> zero, o conjunto de implementações de terceiros e o par de destaque pi / oh-my-pi. O executor não traz adaptador para pi nem para oh-my-pi (Datacurve, 2026); os dois, e o </w:t>
      </w:r>
      <w:r>
        <w:rPr>
          <w:rFonts w:ascii="Times New Roman" w:hAnsi="Times New Roman" w:cs="Times New Roman"/>
          <w:b w:val="0"/>
          <w:i/>
          <w:sz w:val="24"/>
        </w:rPr>
        <w:t>harness</w:t>
      </w:r>
      <w:r>
        <w:rPr>
          <w:rFonts w:ascii="Times New Roman" w:hAnsi="Times New Roman" w:cs="Times New Roman"/>
          <w:b w:val="0"/>
          <w:i w:val="0"/>
          <w:sz w:val="24"/>
        </w:rPr>
        <w:t xml:space="preserve"> zero, são escritos neste projeto. O </w:t>
      </w:r>
      <w:r>
        <w:rPr>
          <w:rFonts w:ascii="Times New Roman" w:hAnsi="Times New Roman" w:cs="Times New Roman"/>
          <w:b w:val="0"/>
          <w:i/>
          <w:sz w:val="24"/>
        </w:rPr>
        <w:t>harness</w:t>
      </w:r>
      <w:r>
        <w:rPr>
          <w:rFonts w:ascii="Times New Roman" w:hAnsi="Times New Roman" w:cs="Times New Roman"/>
          <w:b w:val="0"/>
          <w:i w:val="0"/>
          <w:sz w:val="24"/>
        </w:rPr>
        <w:t xml:space="preserve"> zero é o controle científico e o único braço que este projeto escreve: um laço observar/agir com três ferramentas (leitura de arquivo, escrita de arquivo e execução de comandos). Não tem planejamento, compactação de contexto, repetição automática de requisições nem qualquer chamada auxiliar ao modelo, e é mantido abaixo de 400 linhas de Python por um portão de integração contínua. Ele mede quanto qualquer </w:t>
      </w:r>
      <w:r>
        <w:rPr>
          <w:rFonts w:ascii="Times New Roman" w:hAnsi="Times New Roman" w:cs="Times New Roman"/>
          <w:b w:val="0"/>
          <w:i/>
          <w:sz w:val="24"/>
        </w:rPr>
        <w:t>harness</w:t>
      </w:r>
      <w:r>
        <w:rPr>
          <w:rFonts w:ascii="Times New Roman" w:hAnsi="Times New Roman" w:cs="Times New Roman"/>
          <w:b w:val="0"/>
          <w:i w:val="0"/>
          <w:sz w:val="24"/>
        </w:rPr>
        <w:t xml:space="preserve"> acrescenta sobre o laço mais cru capaz de concluir a tarefa.</w:t>
      </w:r>
    </w:p>
    <w:p>
      <w:pPr>
        <w:spacing w:line="360" w:lineRule="auto" w:before="0" w:after="0"/>
        <w:ind w:firstLine="709"/>
        <w:jc w:val="both"/>
      </w:pPr>
      <w:r>
        <w:rPr>
          <w:rFonts w:ascii="Times New Roman" w:hAnsi="Times New Roman" w:cs="Times New Roman"/>
          <w:b w:val="0"/>
          <w:i w:val="0"/>
          <w:sz w:val="24"/>
        </w:rPr>
        <w:t xml:space="preserve">A suíte é composta por 8 tarefas Python do DeepSWE (Huang </w:t>
      </w:r>
      <w:r>
        <w:rPr>
          <w:rFonts w:ascii="Times New Roman" w:hAnsi="Times New Roman" w:cs="Times New Roman"/>
          <w:b w:val="0"/>
          <w:i/>
          <w:sz w:val="24"/>
        </w:rPr>
        <w:t>et al.</w:t>
      </w:r>
      <w:r>
        <w:rPr>
          <w:rFonts w:ascii="Times New Roman" w:hAnsi="Times New Roman" w:cs="Times New Roman"/>
          <w:b w:val="0"/>
          <w:i w:val="0"/>
          <w:sz w:val="24"/>
        </w:rPr>
        <w:t xml:space="preserve">, 2026), congeladas na adoção e fixadas por </w:t>
      </w:r>
      <w:r>
        <w:rPr>
          <w:rFonts w:ascii="Times New Roman" w:hAnsi="Times New Roman" w:cs="Times New Roman"/>
          <w:b w:val="0"/>
          <w:i/>
          <w:sz w:val="24"/>
        </w:rPr>
        <w:t>commit</w:t>
      </w:r>
      <w:r>
        <w:rPr>
          <w:rFonts w:ascii="Times New Roman" w:hAnsi="Times New Roman" w:cs="Times New Roman"/>
          <w:b w:val="0"/>
          <w:i w:val="0"/>
          <w:sz w:val="24"/>
        </w:rPr>
        <w:t xml:space="preserve"> e por </w:t>
      </w:r>
      <w:r>
        <w:rPr>
          <w:rFonts w:ascii="Times New Roman" w:hAnsi="Times New Roman" w:cs="Times New Roman"/>
          <w:b w:val="0"/>
          <w:i/>
          <w:sz w:val="24"/>
        </w:rPr>
        <w:t>hash</w:t>
      </w:r>
      <w:r>
        <w:rPr>
          <w:rFonts w:ascii="Times New Roman" w:hAnsi="Times New Roman" w:cs="Times New Roman"/>
          <w:b w:val="0"/>
          <w:i w:val="0"/>
          <w:sz w:val="24"/>
        </w:rPr>
        <w:t xml:space="preserve"> SHA-256 de cada tarefa. São tarefas de implementação de longo horizonte sobre repositórios reais: o </w:t>
      </w:r>
      <w:r>
        <w:rPr>
          <w:rFonts w:ascii="Times New Roman" w:hAnsi="Times New Roman" w:cs="Times New Roman"/>
          <w:b w:val="0"/>
          <w:i/>
          <w:sz w:val="24"/>
        </w:rPr>
        <w:t>benchmark</w:t>
      </w:r>
      <w:r>
        <w:rPr>
          <w:rFonts w:ascii="Times New Roman" w:hAnsi="Times New Roman" w:cs="Times New Roman"/>
          <w:b w:val="0"/>
          <w:i w:val="0"/>
          <w:sz w:val="24"/>
        </w:rPr>
        <w:t xml:space="preserve"> completo tem 113 tarefas sobre 91 repositórios, com soluções de referência que tocam cerca de 5,5x mais código que as do SWE-Bench Pro, outra ordem de grandeza ante o SWE-bench (Jimenez </w:t>
      </w:r>
      <w:r>
        <w:rPr>
          <w:rFonts w:ascii="Times New Roman" w:hAnsi="Times New Roman" w:cs="Times New Roman"/>
          <w:b w:val="0"/>
          <w:i/>
          <w:sz w:val="24"/>
        </w:rPr>
        <w:t>et al.</w:t>
      </w:r>
      <w:r>
        <w:rPr>
          <w:rFonts w:ascii="Times New Roman" w:hAnsi="Times New Roman" w:cs="Times New Roman"/>
          <w:b w:val="0"/>
          <w:i w:val="0"/>
          <w:sz w:val="24"/>
        </w:rPr>
        <w:t xml:space="preserve">, 2023). A pontuação adotada aqui é o crédito parcial, a fração de testes aprovados do verificador de cada tarefa. É uma adaptação, porque o DeepSWE grada de forma binária e declara a ausência de crédito parcial como limitação (Huang </w:t>
      </w:r>
      <w:r>
        <w:rPr>
          <w:rFonts w:ascii="Times New Roman" w:hAnsi="Times New Roman" w:cs="Times New Roman"/>
          <w:b w:val="0"/>
          <w:i/>
          <w:sz w:val="24"/>
        </w:rPr>
        <w:t>et al.</w:t>
      </w:r>
      <w:r>
        <w:rPr>
          <w:rFonts w:ascii="Times New Roman" w:hAnsi="Times New Roman" w:cs="Times New Roman"/>
          <w:b w:val="0"/>
          <w:i w:val="0"/>
          <w:sz w:val="24"/>
        </w:rPr>
        <w:t>, 2026, §8); sem ela, um escore binário tenderia a ler zero para todos os braços neste nível de modelo, o que será confirmado nas tarefas-piloto.</w:t>
      </w:r>
    </w:p>
    <w:p>
      <w:pPr>
        <w:spacing w:line="360" w:lineRule="auto" w:before="0" w:after="0"/>
        <w:ind w:firstLine="709"/>
        <w:jc w:val="both"/>
      </w:pPr>
      <w:r>
        <w:rPr>
          <w:rFonts w:ascii="Times New Roman" w:hAnsi="Times New Roman" w:cs="Times New Roman"/>
          <w:b w:val="0"/>
          <w:i w:val="0"/>
          <w:sz w:val="24"/>
        </w:rPr>
        <w:t xml:space="preserve">São dois níveis de modelo, um primário e um de robustez, ambos gratuitos e no mesmo gateway (Opencode, 2026) e relatados em separado. O segundo existe porque o efeito do </w:t>
      </w:r>
      <w:r>
        <w:rPr>
          <w:rFonts w:ascii="Times New Roman" w:hAnsi="Times New Roman" w:cs="Times New Roman"/>
          <w:b w:val="0"/>
          <w:i/>
          <w:sz w:val="24"/>
        </w:rPr>
        <w:t>harness</w:t>
      </w:r>
      <w:r>
        <w:rPr>
          <w:rFonts w:ascii="Times New Roman" w:hAnsi="Times New Roman" w:cs="Times New Roman"/>
          <w:b w:val="0"/>
          <w:i w:val="0"/>
          <w:sz w:val="24"/>
        </w:rPr>
        <w:t xml:space="preserve"> é específico do modelo. Se a ordenação entre braços se inverter entre os níveis, a inversão é o resultado.</w:t>
      </w:r>
    </w:p>
    <w:p>
      <w:pPr>
        <w:spacing w:line="360" w:lineRule="auto" w:before="0" w:after="0"/>
        <w:ind w:firstLine="709"/>
        <w:jc w:val="both"/>
      </w:pPr>
      <w:r>
        <w:rPr>
          <w:rFonts w:ascii="Times New Roman" w:hAnsi="Times New Roman" w:cs="Times New Roman"/>
          <w:b w:val="0"/>
          <w:i w:val="0"/>
          <w:sz w:val="24"/>
        </w:rPr>
        <w:t xml:space="preserve">O instrumento de medição é um proxy reverso interposto entre cada braço e o gateway, que força a emissão do relatório de uso em cada requisição. Os tokens são contados no proxy, sobre os bytes efetivamente transmitidos, com um único tokenizador divulgado para todos os braços e níveis. A contagem vem do proxy, e não do relatório do </w:t>
      </w:r>
      <w:r>
        <w:rPr>
          <w:rFonts w:ascii="Times New Roman" w:hAnsi="Times New Roman" w:cs="Times New Roman"/>
          <w:b w:val="0"/>
          <w:i/>
          <w:sz w:val="24"/>
        </w:rPr>
        <w:t>harness</w:t>
      </w:r>
      <w:r>
        <w:rPr>
          <w:rFonts w:ascii="Times New Roman" w:hAnsi="Times New Roman" w:cs="Times New Roman"/>
          <w:b w:val="0"/>
          <w:i w:val="0"/>
          <w:sz w:val="24"/>
        </w:rPr>
        <w:t xml:space="preserve"> nem do gateway, que inclui conteúdo injetado que nenhum braço enviou. Esse deslocamento aditivo por requisição não se cancela em uma razão e cobraria de cada braço um excedente proporcional ao número de passos, que é um dos comportamentos sob teste. As contagens do gateway permanecem registradas para verificação cruzada e para o cálculo de custo, e a divergência entre elas e as do proxy é reportada por braço.</w:t>
      </w:r>
    </w:p>
    <w:p>
      <w:pPr>
        <w:spacing w:line="360" w:lineRule="auto" w:before="0" w:after="0"/>
        <w:ind w:firstLine="709"/>
        <w:jc w:val="both"/>
      </w:pPr>
      <w:r>
        <w:rPr>
          <w:rFonts w:ascii="Times New Roman" w:hAnsi="Times New Roman" w:cs="Times New Roman"/>
          <w:b w:val="0"/>
          <w:i w:val="0"/>
          <w:sz w:val="24"/>
        </w:rPr>
        <w:t xml:space="preserve">Um único limite é imposto, idêntico para todos os braços. É um relógio de parede, cujo valor será três vezes a mediana que o </w:t>
      </w:r>
      <w:r>
        <w:rPr>
          <w:rFonts w:ascii="Times New Roman" w:hAnsi="Times New Roman" w:cs="Times New Roman"/>
          <w:b w:val="0"/>
          <w:i/>
          <w:sz w:val="24"/>
        </w:rPr>
        <w:t>harness</w:t>
      </w:r>
      <w:r>
        <w:rPr>
          <w:rFonts w:ascii="Times New Roman" w:hAnsi="Times New Roman" w:cs="Times New Roman"/>
          <w:b w:val="0"/>
          <w:i w:val="0"/>
          <w:sz w:val="24"/>
        </w:rPr>
        <w:t xml:space="preserve"> zero gastar nas tarefas-piloto. O número de passos não é limitado, porque um teto de passos é ele próprio uma decisão de projeto de </w:t>
      </w:r>
      <w:r>
        <w:rPr>
          <w:rFonts w:ascii="Times New Roman" w:hAnsi="Times New Roman" w:cs="Times New Roman"/>
          <w:b w:val="0"/>
          <w:i/>
          <w:sz w:val="24"/>
        </w:rPr>
        <w:t>harness</w:t>
      </w:r>
      <w:r>
        <w:rPr>
          <w:rFonts w:ascii="Times New Roman" w:hAnsi="Times New Roman" w:cs="Times New Roman"/>
          <w:b w:val="0"/>
          <w:i w:val="0"/>
          <w:sz w:val="24"/>
        </w:rPr>
        <w:t xml:space="preserve"> e apagaria a diferença sob teste. O comprimento máximo de saída é forçado idêntico pelo proxy. Os parâmetros de amostragem são registrados e relatados, mas não normalizados, já que o gateway os aceita sem os honrar, e Miller (2024) desaconselha mexer na temperatura para reduzir variância. O isolamento de ambiente é verificado por um portão que falha fechado.</w:t>
      </w:r>
    </w:p>
    <w:p>
      <w:pPr>
        <w:spacing w:line="360" w:lineRule="auto" w:before="0" w:after="0"/>
        <w:ind w:firstLine="709"/>
        <w:jc w:val="both"/>
      </w:pPr>
      <w:r>
        <w:rPr>
          <w:rFonts w:ascii="Times New Roman" w:hAnsi="Times New Roman" w:cs="Times New Roman"/>
          <w:b w:val="0"/>
          <w:i w:val="0"/>
          <w:sz w:val="24"/>
        </w:rPr>
        <w:t>Cada célula do experimento, a tripla (braço, tarefa, nível), recebe n ≥ 3 execuções completas, contadas após os descartes, na função redutora de variância que Miller (2024) atribui à reamostragem. Os resultados saem como mediana com dispersão, já que requisições byte-idênticas variam materialmente em tokens de saída neste nível gratuito. Quando a cota não comportar a matriz, reduz-se a cobertura antes das repetições, já que a variância é a principal ameaça ao desenho.</w:t>
      </w:r>
    </w:p>
    <w:p>
      <w:pPr>
        <w:spacing w:line="360" w:lineRule="auto" w:before="0" w:after="0"/>
        <w:ind w:firstLine="709"/>
        <w:jc w:val="both"/>
      </w:pPr>
      <w:r>
        <w:rPr>
          <w:rFonts w:ascii="Times New Roman" w:hAnsi="Times New Roman" w:cs="Times New Roman"/>
          <w:b w:val="0"/>
          <w:i w:val="0"/>
          <w:sz w:val="24"/>
        </w:rPr>
        <w:t>A comparação é pareada por tarefa e usa o teste de Wilcoxon dos postos sinalizados sobre o Succ/Mtok por tarefa, bilateral, com α = 0,05. O teste é não paramétrico porque oito pares não sustentam suposição distribucional, e pareado porque a dificuldade da tarefa é o maior fator de perturbação do desenho, que é o que Miller (2024) recomenda ao preferir a diferença pareada por questão à média agregada. Com n = 3 e 8 tarefas, a diferença mínima detectável é de cerca de 0,81σ. As predições são pré-registradas por nível de modelo, e um resultado nulo para H2 é um achado reportável.</w:t>
      </w:r>
    </w:p>
    <w:p>
      <w:pPr>
        <w:spacing w:line="360" w:lineRule="auto" w:before="0" w:after="0"/>
        <w:ind w:firstLine="709"/>
        <w:jc w:val="both"/>
      </w:pPr>
      <w:r>
        <w:rPr>
          <w:rFonts w:ascii="Times New Roman" w:hAnsi="Times New Roman" w:cs="Times New Roman"/>
          <w:b w:val="0"/>
          <w:i w:val="0"/>
          <w:sz w:val="24"/>
        </w:rPr>
        <w:t xml:space="preserve">Cada execução recebe exatamente uma classe. Aquela cujo agente não cumpriu a tarefa é um resultado, entra na estatística e recebe escore zero; nesse grupo, o estouro do relógio de parede conta como resultado, já que repetir converteria uma indisponibilidade do serviço em diferença aparente entre </w:t>
      </w:r>
      <w:r>
        <w:rPr>
          <w:rFonts w:ascii="Times New Roman" w:hAnsi="Times New Roman" w:cs="Times New Roman"/>
          <w:b w:val="0"/>
          <w:i/>
          <w:sz w:val="24"/>
        </w:rPr>
        <w:t>harnesses</w:t>
      </w:r>
      <w:r>
        <w:rPr>
          <w:rFonts w:ascii="Times New Roman" w:hAnsi="Times New Roman" w:cs="Times New Roman"/>
          <w:b w:val="0"/>
          <w:i w:val="0"/>
          <w:sz w:val="24"/>
        </w:rPr>
        <w:t>. Aquela cuja medição é inconfiável é descartada e registrada como tal, sem reparo nem repetição. A classificação vem do registro do proxy, e não do código de saída, que não discrimina desfecho.</w:t>
      </w:r>
    </w:p>
    <w:p>
      <w:pPr>
        <w:spacing w:line="360" w:lineRule="auto" w:before="120" w:after="0"/>
        <w:ind w:firstLine="0"/>
      </w:pPr>
      <w:r>
        <w:rPr>
          <w:rFonts w:ascii="Times New Roman" w:hAnsi="Times New Roman" w:cs="Times New Roman"/>
          <w:b/>
          <w:i w:val="0"/>
          <w:sz w:val="24"/>
        </w:rPr>
        <w:t>Resultados preliminares do instrumento (Camada 1)</w:t>
      </w:r>
    </w:p>
    <w:p>
      <w:pPr>
        <w:spacing w:line="360" w:lineRule="auto" w:before="0" w:after="0"/>
        <w:ind w:firstLine="709"/>
        <w:jc w:val="both"/>
      </w:pPr>
      <w:r>
        <w:rPr>
          <w:rFonts w:ascii="Times New Roman" w:hAnsi="Times New Roman" w:cs="Times New Roman"/>
          <w:b w:val="0"/>
          <w:i w:val="0"/>
          <w:sz w:val="24"/>
        </w:rPr>
        <w:t xml:space="preserve">O instrumento da Camada 1 está construído e executado, com os dados brutos no repositório do projeto, cuja abertura é o objetivo (7) (YuukiFST, 2026). Na primeira requisição da tarefa </w:t>
      </w:r>
      <w:r>
        <w:rPr>
          <w:rFonts w:ascii="Times New Roman" w:hAnsi="Times New Roman" w:cs="Times New Roman"/>
          <w:b w:val="0"/>
          <w:i/>
          <w:sz w:val="24"/>
        </w:rPr>
        <w:t xml:space="preserve">probe</w:t>
      </w:r>
      <w:r>
        <w:rPr>
          <w:rFonts w:ascii="Times New Roman" w:hAnsi="Times New Roman" w:cs="Times New Roman"/>
          <w:b w:val="0"/>
          <w:i w:val="0"/>
          <w:sz w:val="24"/>
        </w:rPr>
        <w:t xml:space="preserve">, em ambiente isolado, medida em 28 de agosto de 2026, os braços diferem por uma ordem de grandeza antes que o modelo gere qualquer token (Tabela 1): com a linhagem mantida fixa, o oh-my-pi envia 11,4x os bytes totais do pi, 13,5x os bytes de esquemas de ferramenta e 13,6x os tokens. A mesma execução produziu outros dois achados. Os três braços reenviam o histórico completo a cada passo, com incremento constante de 555, 625 e 698 bytes (pi, oh-my-pi e OpenCode), mas só dois o reenviam íntegro: no quinto passo, o oh-my-pi já substituiu o resultado de ferramenta mais antigo por uma referência de 54 bytes, sem pressão de contexto; além do custo, Liu </w:t>
      </w:r>
      <w:r>
        <w:rPr>
          <w:rFonts w:ascii="Times New Roman" w:hAnsi="Times New Roman" w:cs="Times New Roman"/>
          <w:b w:val="0"/>
          <w:i/>
          <w:sz w:val="24"/>
        </w:rPr>
        <w:t xml:space="preserve">et al.</w:t>
      </w:r>
      <w:r>
        <w:rPr>
          <w:rFonts w:ascii="Times New Roman" w:hAnsi="Times New Roman" w:cs="Times New Roman"/>
          <w:b w:val="0"/>
          <w:i w:val="0"/>
          <w:sz w:val="24"/>
        </w:rPr>
        <w:t xml:space="preserve"> (2023) medem queda de desempenho quando a informação relevante fica no meio de um contexto longo. O OpenCode gasta por sessão uma chamada auxiliar de 2.526 bytes que seria cobrada em um nível pago e não aparece no seu próprio relatório, divergência que o objetivo (6) quantifica.</w:t>
      </w:r>
    </w:p>
    <w:p>
      <w:pPr>
        <w:keepNext/>
        <w:spacing w:line="240" w:lineRule="auto" w:before="120" w:after="40"/>
        <w:ind w:firstLine="0"/>
        <w:jc w:val="left"/>
      </w:pPr>
      <w:r>
        <w:rPr>
          <w:rFonts w:ascii="Times New Roman" w:hAnsi="Times New Roman" w:cs="Times New Roman"/>
          <w:b w:val="0"/>
          <w:i w:val="0"/>
          <w:sz w:val="20"/>
        </w:rPr>
        <w:t>Tabela 1 – Primeira requisição por braço, perfil isolado, tarefa probe (28 ago. 2026)</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814"/>
          </w:tcPr>
          <w:p>
            <w:pPr>
              <w:spacing w:line="240" w:lineRule="auto" w:before="20" w:after="20"/>
              <w:ind w:firstLine="0"/>
            </w:pPr>
            <w:r/>
            <w:r>
              <w:rPr>
                <w:rFonts w:ascii="Times New Roman" w:hAnsi="Times New Roman" w:cs="Times New Roman"/>
                <w:b/>
                <w:i w:val="0"/>
                <w:sz w:val="18"/>
              </w:rPr>
              <w:t>Braço</w:t>
            </w:r>
          </w:p>
        </w:tc>
        <w:tc>
          <w:tcPr>
            <w:tcW w:type="dxa" w:w="1531"/>
          </w:tcPr>
          <w:p>
            <w:pPr>
              <w:spacing w:line="240" w:lineRule="auto" w:before="20" w:after="20"/>
              <w:ind w:firstLine="0"/>
              <w:jc w:val="center"/>
            </w:pPr>
            <w:r/>
            <w:r>
              <w:rPr>
                <w:rFonts w:ascii="Times New Roman" w:hAnsi="Times New Roman" w:cs="Times New Roman"/>
                <w:b/>
                <w:i w:val="0"/>
                <w:sz w:val="18"/>
              </w:rPr>
              <w:t>Esquemas de ferramenta</w:t>
            </w:r>
          </w:p>
        </w:tc>
        <w:tc>
          <w:tcPr>
            <w:tcW w:type="dxa" w:w="1474"/>
          </w:tcPr>
          <w:p>
            <w:pPr>
              <w:spacing w:line="240" w:lineRule="auto" w:before="20" w:after="20"/>
              <w:ind w:firstLine="0"/>
              <w:jc w:val="center"/>
            </w:pPr>
            <w:r/>
            <w:r>
              <w:rPr>
                <w:rFonts w:ascii="Times New Roman" w:hAnsi="Times New Roman" w:cs="Times New Roman"/>
                <w:b/>
                <w:i w:val="0"/>
                <w:sz w:val="18"/>
              </w:rPr>
              <w:t>Bytes de ferramentas</w:t>
            </w:r>
          </w:p>
        </w:tc>
        <w:tc>
          <w:tcPr>
            <w:tcW w:type="dxa" w:w="1417"/>
          </w:tcPr>
          <w:p>
            <w:pPr>
              <w:spacing w:line="240" w:lineRule="auto" w:before="20" w:after="20"/>
              <w:ind w:firstLine="0"/>
              <w:jc w:val="center"/>
            </w:pPr>
            <w:r/>
            <w:r>
              <w:rPr>
                <w:rFonts w:ascii="Times New Roman" w:hAnsi="Times New Roman" w:cs="Times New Roman"/>
                <w:b/>
                <w:i w:val="0"/>
                <w:sz w:val="18"/>
              </w:rPr>
              <w:t>Bytes de system</w:t>
            </w:r>
          </w:p>
        </w:tc>
        <w:tc>
          <w:tcPr>
            <w:tcW w:type="dxa" w:w="1417"/>
          </w:tcPr>
          <w:p>
            <w:pPr>
              <w:spacing w:line="240" w:lineRule="auto" w:before="20" w:after="20"/>
              <w:ind w:firstLine="0"/>
              <w:jc w:val="center"/>
            </w:pPr>
            <w:r/>
            <w:r>
              <w:rPr>
                <w:rFonts w:ascii="Times New Roman" w:hAnsi="Times New Roman" w:cs="Times New Roman"/>
                <w:b/>
                <w:i w:val="0"/>
                <w:sz w:val="18"/>
              </w:rPr>
              <w:t>Bytes totais</w:t>
            </w:r>
          </w:p>
        </w:tc>
        <w:tc>
          <w:tcPr>
            <w:tcW w:type="dxa" w:w="1417"/>
          </w:tcPr>
          <w:p>
            <w:pPr>
              <w:spacing w:line="240" w:lineRule="auto" w:before="20" w:after="20"/>
              <w:ind w:firstLine="0"/>
              <w:jc w:val="center"/>
            </w:pPr>
            <w:r/>
            <w:r>
              <w:rPr>
                <w:rFonts w:ascii="Times New Roman" w:hAnsi="Times New Roman" w:cs="Times New Roman"/>
                <w:b/>
                <w:i w:val="0"/>
                <w:sz w:val="18"/>
              </w:rPr>
              <w:t>Tokens</w:t>
            </w:r>
          </w:p>
        </w:tc>
      </w:tr>
      <w:tr>
        <w:tc>
          <w:tcPr>
            <w:tcW w:type="dxa" w:w="1814"/>
          </w:tcPr>
          <w:p>
            <w:pPr>
              <w:spacing w:line="240" w:lineRule="auto" w:before="20" w:after="20"/>
              <w:ind w:firstLine="0"/>
            </w:pPr>
            <w:r/>
            <w:r>
              <w:rPr>
                <w:rFonts w:ascii="Times New Roman" w:hAnsi="Times New Roman" w:cs="Times New Roman"/>
                <w:b w:val="0"/>
                <w:i w:val="0"/>
                <w:sz w:val="18"/>
              </w:rPr>
              <w:t>oh-my-pi 17.2.10</w:t>
            </w:r>
          </w:p>
        </w:tc>
        <w:tc>
          <w:tcPr>
            <w:tcW w:type="dxa" w:w="1531"/>
          </w:tcPr>
          <w:p>
            <w:pPr>
              <w:spacing w:line="240" w:lineRule="auto" w:before="20" w:after="20"/>
              <w:ind w:firstLine="0"/>
              <w:jc w:val="center"/>
            </w:pPr>
            <w:r/>
            <w:r>
              <w:rPr>
                <w:rFonts w:ascii="Times New Roman" w:hAnsi="Times New Roman" w:cs="Times New Roman"/>
                <w:b w:val="0"/>
                <w:i w:val="0"/>
                <w:sz w:val="18"/>
              </w:rPr>
              <w:t>11</w:t>
            </w:r>
          </w:p>
        </w:tc>
        <w:tc>
          <w:tcPr>
            <w:tcW w:type="dxa" w:w="1474"/>
          </w:tcPr>
          <w:p>
            <w:pPr>
              <w:spacing w:line="240" w:lineRule="auto" w:before="20" w:after="20"/>
              <w:ind w:firstLine="0"/>
              <w:jc w:val="center"/>
            </w:pPr>
            <w:r/>
            <w:r>
              <w:rPr>
                <w:rFonts w:ascii="Times New Roman" w:hAnsi="Times New Roman" w:cs="Times New Roman"/>
                <w:b w:val="0"/>
                <w:i w:val="0"/>
                <w:sz w:val="18"/>
              </w:rPr>
              <w:t>39.273</w:t>
            </w:r>
          </w:p>
        </w:tc>
        <w:tc>
          <w:tcPr>
            <w:tcW w:type="dxa" w:w="1417"/>
          </w:tcPr>
          <w:p>
            <w:pPr>
              <w:spacing w:line="240" w:lineRule="auto" w:before="20" w:after="20"/>
              <w:ind w:firstLine="0"/>
              <w:jc w:val="center"/>
            </w:pPr>
            <w:r/>
            <w:r>
              <w:rPr>
                <w:rFonts w:ascii="Times New Roman" w:hAnsi="Times New Roman" w:cs="Times New Roman"/>
                <w:b w:val="0"/>
                <w:i w:val="0"/>
                <w:sz w:val="18"/>
              </w:rPr>
              <w:t>25.395</w:t>
            </w:r>
          </w:p>
        </w:tc>
        <w:tc>
          <w:tcPr>
            <w:tcW w:type="dxa" w:w="1417"/>
          </w:tcPr>
          <w:p>
            <w:pPr>
              <w:spacing w:line="240" w:lineRule="auto" w:before="20" w:after="20"/>
              <w:ind w:firstLine="0"/>
              <w:jc w:val="center"/>
            </w:pPr>
            <w:r/>
            <w:r>
              <w:rPr>
                <w:rFonts w:ascii="Times New Roman" w:hAnsi="Times New Roman" w:cs="Times New Roman"/>
                <w:b w:val="0"/>
                <w:i w:val="0"/>
                <w:sz w:val="18"/>
              </w:rPr>
              <w:t>64.945</w:t>
            </w:r>
          </w:p>
        </w:tc>
        <w:tc>
          <w:tcPr>
            <w:tcW w:type="dxa" w:w="1417"/>
          </w:tcPr>
          <w:p>
            <w:pPr>
              <w:spacing w:line="240" w:lineRule="auto" w:before="20" w:after="20"/>
              <w:ind w:firstLine="0"/>
              <w:jc w:val="center"/>
            </w:pPr>
            <w:r/>
            <w:r>
              <w:rPr>
                <w:rFonts w:ascii="Times New Roman" w:hAnsi="Times New Roman" w:cs="Times New Roman"/>
                <w:b w:val="0"/>
                <w:i w:val="0"/>
                <w:sz w:val="18"/>
              </w:rPr>
              <w:t>16.714</w:t>
            </w:r>
          </w:p>
        </w:tc>
      </w:tr>
      <w:tr>
        <w:tc>
          <w:tcPr>
            <w:tcW w:type="dxa" w:w="1814"/>
          </w:tcPr>
          <w:p>
            <w:pPr>
              <w:spacing w:line="240" w:lineRule="auto" w:before="20" w:after="20"/>
              <w:ind w:firstLine="0"/>
            </w:pPr>
            <w:r/>
            <w:r>
              <w:rPr>
                <w:rFonts w:ascii="Times New Roman" w:hAnsi="Times New Roman" w:cs="Times New Roman"/>
                <w:b w:val="0"/>
                <w:i w:val="0"/>
                <w:sz w:val="18"/>
              </w:rPr>
              <w:t>opencode 1.17.9</w:t>
            </w:r>
          </w:p>
        </w:tc>
        <w:tc>
          <w:tcPr>
            <w:tcW w:type="dxa" w:w="1531"/>
          </w:tcPr>
          <w:p>
            <w:pPr>
              <w:spacing w:line="240" w:lineRule="auto" w:before="20" w:after="20"/>
              <w:ind w:firstLine="0"/>
              <w:jc w:val="center"/>
            </w:pPr>
            <w:r/>
            <w:r>
              <w:rPr>
                <w:rFonts w:ascii="Times New Roman" w:hAnsi="Times New Roman" w:cs="Times New Roman"/>
                <w:b w:val="0"/>
                <w:i w:val="0"/>
                <w:sz w:val="18"/>
              </w:rPr>
              <w:t>9</w:t>
            </w:r>
          </w:p>
        </w:tc>
        <w:tc>
          <w:tcPr>
            <w:tcW w:type="dxa" w:w="1474"/>
          </w:tcPr>
          <w:p>
            <w:pPr>
              <w:spacing w:line="240" w:lineRule="auto" w:before="20" w:after="20"/>
              <w:ind w:firstLine="0"/>
              <w:jc w:val="center"/>
            </w:pPr>
            <w:r/>
            <w:r>
              <w:rPr>
                <w:rFonts w:ascii="Times New Roman" w:hAnsi="Times New Roman" w:cs="Times New Roman"/>
                <w:b w:val="0"/>
                <w:i w:val="0"/>
                <w:sz w:val="18"/>
              </w:rPr>
              <w:t>20.007</w:t>
            </w:r>
          </w:p>
        </w:tc>
        <w:tc>
          <w:tcPr>
            <w:tcW w:type="dxa" w:w="1417"/>
          </w:tcPr>
          <w:p>
            <w:pPr>
              <w:spacing w:line="240" w:lineRule="auto" w:before="20" w:after="20"/>
              <w:ind w:firstLine="0"/>
              <w:jc w:val="center"/>
            </w:pPr>
            <w:r/>
            <w:r>
              <w:rPr>
                <w:rFonts w:ascii="Times New Roman" w:hAnsi="Times New Roman" w:cs="Times New Roman"/>
                <w:b w:val="0"/>
                <w:i w:val="0"/>
                <w:sz w:val="18"/>
              </w:rPr>
              <w:t>9.738</w:t>
            </w:r>
          </w:p>
        </w:tc>
        <w:tc>
          <w:tcPr>
            <w:tcW w:type="dxa" w:w="1417"/>
          </w:tcPr>
          <w:p>
            <w:pPr>
              <w:spacing w:line="240" w:lineRule="auto" w:before="20" w:after="20"/>
              <w:ind w:firstLine="0"/>
              <w:jc w:val="center"/>
            </w:pPr>
            <w:r/>
            <w:r>
              <w:rPr>
                <w:rFonts w:ascii="Times New Roman" w:hAnsi="Times New Roman" w:cs="Times New Roman"/>
                <w:b w:val="0"/>
                <w:i w:val="0"/>
                <w:sz w:val="18"/>
              </w:rPr>
              <w:t>29.997</w:t>
            </w:r>
          </w:p>
        </w:tc>
        <w:tc>
          <w:tcPr>
            <w:tcW w:type="dxa" w:w="1417"/>
          </w:tcPr>
          <w:p>
            <w:pPr>
              <w:spacing w:line="240" w:lineRule="auto" w:before="20" w:after="20"/>
              <w:ind w:firstLine="0"/>
              <w:jc w:val="center"/>
            </w:pPr>
            <w:r/>
            <w:r>
              <w:rPr>
                <w:rFonts w:ascii="Times New Roman" w:hAnsi="Times New Roman" w:cs="Times New Roman"/>
                <w:b w:val="0"/>
                <w:i w:val="0"/>
                <w:sz w:val="18"/>
              </w:rPr>
              <w:t>6.659</w:t>
            </w:r>
          </w:p>
        </w:tc>
      </w:tr>
      <w:tr>
        <w:tc>
          <w:tcPr>
            <w:tcW w:type="dxa" w:w="1814"/>
          </w:tcPr>
          <w:p>
            <w:pPr>
              <w:spacing w:line="240" w:lineRule="auto" w:before="20" w:after="20"/>
              <w:ind w:firstLine="0"/>
            </w:pPr>
            <w:r/>
            <w:r>
              <w:rPr>
                <w:rFonts w:ascii="Times New Roman" w:hAnsi="Times New Roman" w:cs="Times New Roman"/>
                <w:b w:val="0"/>
                <w:i w:val="0"/>
                <w:sz w:val="18"/>
              </w:rPr>
              <w:t>pi 0.80.10</w:t>
            </w:r>
          </w:p>
        </w:tc>
        <w:tc>
          <w:tcPr>
            <w:tcW w:type="dxa" w:w="1531"/>
          </w:tcPr>
          <w:p>
            <w:pPr>
              <w:spacing w:line="240" w:lineRule="auto" w:before="20" w:after="20"/>
              <w:ind w:firstLine="0"/>
              <w:jc w:val="center"/>
            </w:pPr>
            <w:r/>
            <w:r>
              <w:rPr>
                <w:rFonts w:ascii="Times New Roman" w:hAnsi="Times New Roman" w:cs="Times New Roman"/>
                <w:b w:val="0"/>
                <w:i w:val="0"/>
                <w:sz w:val="18"/>
              </w:rPr>
              <w:t>4</w:t>
            </w:r>
          </w:p>
        </w:tc>
        <w:tc>
          <w:tcPr>
            <w:tcW w:type="dxa" w:w="1474"/>
          </w:tcPr>
          <w:p>
            <w:pPr>
              <w:spacing w:line="240" w:lineRule="auto" w:before="20" w:after="20"/>
              <w:ind w:firstLine="0"/>
              <w:jc w:val="center"/>
            </w:pPr>
            <w:r/>
            <w:r>
              <w:rPr>
                <w:rFonts w:ascii="Times New Roman" w:hAnsi="Times New Roman" w:cs="Times New Roman"/>
                <w:b w:val="0"/>
                <w:i w:val="0"/>
                <w:sz w:val="18"/>
              </w:rPr>
              <w:t>2.900</w:t>
            </w:r>
          </w:p>
        </w:tc>
        <w:tc>
          <w:tcPr>
            <w:tcW w:type="dxa" w:w="1417"/>
          </w:tcPr>
          <w:p>
            <w:pPr>
              <w:spacing w:line="240" w:lineRule="auto" w:before="20" w:after="20"/>
              <w:ind w:firstLine="0"/>
              <w:jc w:val="center"/>
            </w:pPr>
            <w:r/>
            <w:r>
              <w:rPr>
                <w:rFonts w:ascii="Times New Roman" w:hAnsi="Times New Roman" w:cs="Times New Roman"/>
                <w:b w:val="0"/>
                <w:i w:val="0"/>
                <w:sz w:val="18"/>
              </w:rPr>
              <w:t>2.499</w:t>
            </w:r>
          </w:p>
        </w:tc>
        <w:tc>
          <w:tcPr>
            <w:tcW w:type="dxa" w:w="1417"/>
          </w:tcPr>
          <w:p>
            <w:pPr>
              <w:spacing w:line="240" w:lineRule="auto" w:before="20" w:after="20"/>
              <w:ind w:firstLine="0"/>
              <w:jc w:val="center"/>
            </w:pPr>
            <w:r/>
            <w:r>
              <w:rPr>
                <w:rFonts w:ascii="Times New Roman" w:hAnsi="Times New Roman" w:cs="Times New Roman"/>
                <w:b w:val="0"/>
                <w:i w:val="0"/>
                <w:sz w:val="18"/>
              </w:rPr>
              <w:t>5.676</w:t>
            </w:r>
          </w:p>
        </w:tc>
        <w:tc>
          <w:tcPr>
            <w:tcW w:type="dxa" w:w="1417"/>
          </w:tcPr>
          <w:p>
            <w:pPr>
              <w:spacing w:line="240" w:lineRule="auto" w:before="20" w:after="20"/>
              <w:ind w:firstLine="0"/>
              <w:jc w:val="center"/>
            </w:pPr>
            <w:r/>
            <w:r>
              <w:rPr>
                <w:rFonts w:ascii="Times New Roman" w:hAnsi="Times New Roman" w:cs="Times New Roman"/>
                <w:b w:val="0"/>
                <w:i w:val="0"/>
                <w:sz w:val="18"/>
              </w:rPr>
              <w:t>1.228</w:t>
            </w:r>
          </w:p>
        </w:tc>
      </w:tr>
    </w:tbl>
    <w:p>
      <w:pPr>
        <w:keepNext w:val="0"/>
        <w:spacing w:line="240" w:lineRule="auto" w:before="40" w:after="120"/>
        <w:ind w:firstLine="0"/>
        <w:jc w:val="left"/>
      </w:pPr>
      <w:r>
        <w:rPr>
          <w:rFonts w:ascii="Times New Roman" w:hAnsi="Times New Roman" w:cs="Times New Roman"/>
          <w:b w:val="0"/>
          <w:i w:val="0"/>
          <w:sz w:val="20"/>
        </w:rPr>
        <w:t>Fonte: elaborado pelo autor (2026).</w:t>
      </w:r>
    </w:p>
    <w:p>
      <w:pPr>
        <w:spacing w:line="360" w:lineRule="auto" w:before="120" w:after="0"/>
        <w:ind w:firstLine="0"/>
      </w:pPr>
      <w:r>
        <w:rPr>
          <w:rFonts w:ascii="Times New Roman" w:hAnsi="Times New Roman" w:cs="Times New Roman"/>
          <w:b/>
          <w:i w:val="0"/>
          <w:sz w:val="24"/>
        </w:rPr>
        <w:t>Limitações e ameaças à validade</w:t>
      </w:r>
    </w:p>
    <w:p>
      <w:pPr>
        <w:spacing w:line="360" w:lineRule="auto" w:before="0" w:after="0"/>
        <w:ind w:firstLine="709"/>
        <w:jc w:val="both"/>
      </w:pPr>
      <w:r>
        <w:rPr>
          <w:rFonts w:ascii="Times New Roman" w:hAnsi="Times New Roman" w:cs="Times New Roman"/>
          <w:b w:val="0"/>
          <w:i w:val="0"/>
          <w:sz w:val="24"/>
        </w:rPr>
        <w:t xml:space="preserve">Cinco limitações são declaradas de partida. O efeito de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é específico do modelo e pode inverter de sinal, o que restringe qualquer conclusão ao nível de modelo em que foi obtida; o objetivo (5) existe para testar isso. A transferência para modelos pequenos fica deliberadamente em aberto e é registrada como trabalho futuro, porque o único modelo pequeno viável havia sido treinado dentro de um dos braços, o que invalidaria a medição de destaque em vez de apenas limitá-la. Os valores absolutos não são comparáveis ao placar público do DeepSWE, porque toda linha de base publicada usa um </w:t>
      </w:r>
      <w:r>
        <w:rPr>
          <w:rFonts w:ascii="Times New Roman" w:hAnsi="Times New Roman" w:cs="Times New Roman"/>
          <w:b w:val="0"/>
          <w:i/>
          <w:sz w:val="24"/>
        </w:rPr>
        <w:t xml:space="preserve">harness</w:t>
      </w:r>
      <w:r>
        <w:rPr>
          <w:rFonts w:ascii="Times New Roman" w:hAnsi="Times New Roman" w:cs="Times New Roman"/>
          <w:b w:val="0"/>
          <w:i w:val="0"/>
          <w:sz w:val="24"/>
        </w:rPr>
        <w:t xml:space="preserve"> de ferramenta única, e os valores em dólar citados de fontes externas vêm de outros modelos e de níveis pagos: a comparação válida aqui é entre os próprios braços. O custo em dinheiro é um contrafactual de ordem de grandeza sobre tarifas pagas publicadas, rotulado como tal onde apareça. Por fim, os resultados preliminares da Camada 1 valem para uma tarefa, uma máquina e três braços, já que o controle ainda não figura na tabela, e a Camada 2 ainda não produziu resultado algum.</w:t>
      </w:r>
    </w:p>
    <w:p>
      <w:pPr>
        <w:keepNext/>
        <w:spacing w:line="360" w:lineRule="auto" w:before="240" w:after="120"/>
        <w:ind w:firstLine="0"/>
      </w:pPr>
      <w:r>
        <w:rPr>
          <w:rFonts w:ascii="Times New Roman" w:hAnsi="Times New Roman" w:cs="Times New Roman"/>
          <w:b/>
          <w:i w:val="0"/>
          <w:sz w:val="28"/>
        </w:rPr>
        <w:t>4 ORÇAMENTO</w:t>
      </w:r>
    </w:p>
    <w:p>
      <w:pPr>
        <w:keepNext/>
        <w:spacing w:line="240" w:lineRule="auto" w:before="120" w:after="40"/>
        <w:ind w:firstLine="0"/>
        <w:jc w:val="left"/>
      </w:pPr>
      <w:r>
        <w:rPr>
          <w:rFonts w:ascii="Times New Roman" w:hAnsi="Times New Roman" w:cs="Times New Roman"/>
          <w:b w:val="0"/>
          <w:i w:val="0"/>
          <w:sz w:val="20"/>
        </w:rPr>
        <w:t>Tabela 2 – Orçamento do projeto</w:t>
      </w:r>
    </w:p>
    <w:tbl>
      <w:tblPr>
        <w:tblStyle w:val="TableGrid"/>
        <w:tblW w:type="auto" w:w="0"/>
        <w:jc w:val="center"/>
        <w:tblLayout w:type="fixed"/>
        <w:tblLook w:firstColumn="1" w:firstRow="1" w:lastColumn="0" w:lastRow="0" w:noHBand="0" w:noVBand="1" w:val="04A0"/>
      </w:tblPr>
      <w:tblGrid>
        <w:gridCol w:w="4535"/>
        <w:gridCol w:w="4535"/>
      </w:tblGrid>
      <w:tr>
        <w:tc>
          <w:tcPr>
            <w:tcW w:type="dxa" w:w="6520"/>
          </w:tcPr>
          <w:p>
            <w:pPr>
              <w:spacing w:line="240" w:lineRule="auto" w:before="20" w:after="20"/>
              <w:ind w:firstLine="0"/>
            </w:pPr>
            <w:r/>
            <w:r>
              <w:rPr>
                <w:rFonts w:ascii="Times New Roman" w:hAnsi="Times New Roman" w:cs="Times New Roman"/>
                <w:b/>
                <w:i w:val="0"/>
                <w:sz w:val="22"/>
              </w:rPr>
              <w:t>Item</w:t>
            </w:r>
          </w:p>
        </w:tc>
        <w:tc>
          <w:tcPr>
            <w:tcW w:type="dxa" w:w="2551"/>
          </w:tcPr>
          <w:p>
            <w:pPr>
              <w:spacing w:line="240" w:lineRule="auto" w:before="20" w:after="20"/>
              <w:ind w:firstLine="0"/>
              <w:jc w:val="center"/>
            </w:pPr>
            <w:r/>
            <w:r>
              <w:rPr>
                <w:rFonts w:ascii="Times New Roman" w:hAnsi="Times New Roman" w:cs="Times New Roman"/>
                <w:b/>
                <w:i w:val="0"/>
                <w:sz w:val="22"/>
              </w:rPr>
              <w:t>Custo</w:t>
            </w:r>
          </w:p>
        </w:tc>
      </w:tr>
      <w:tr>
        <w:tc>
          <w:tcPr>
            <w:tcW w:type="dxa" w:w="6520"/>
          </w:tcPr>
          <w:p>
            <w:pPr>
              <w:spacing w:line="240" w:lineRule="auto" w:before="20" w:after="20"/>
              <w:ind w:firstLine="0"/>
            </w:pPr>
            <w:r/>
            <w:r>
              <w:rPr>
                <w:rFonts w:ascii="Times New Roman" w:hAnsi="Times New Roman" w:cs="Times New Roman"/>
                <w:b w:val="0"/>
                <w:i w:val="0"/>
                <w:sz w:val="22"/>
              </w:rPr>
              <w:t>Inferência dos modelos (dois níveis, nível gratuito do gateway)</w:t>
            </w:r>
          </w:p>
        </w:tc>
        <w:tc>
          <w:tcPr>
            <w:tcW w:type="dxa" w:w="2551"/>
          </w:tcPr>
          <w:p>
            <w:pPr>
              <w:spacing w:line="240" w:lineRule="auto" w:before="20" w:after="20"/>
              <w:ind w:firstLine="0"/>
              <w:jc w:val="center"/>
            </w:pPr>
            <w:r/>
            <w:r>
              <w:rPr>
                <w:rFonts w:ascii="Times New Roman" w:hAnsi="Times New Roman" w:cs="Times New Roman"/>
                <w:b w:val="0"/>
                <w:i w:val="0"/>
                <w:sz w:val="22"/>
              </w:rPr>
              <w:t>R$ 0,00</w:t>
            </w:r>
          </w:p>
        </w:tc>
      </w:tr>
      <w:tr>
        <w:tc>
          <w:tcPr>
            <w:tcW w:type="dxa" w:w="6520"/>
          </w:tcPr>
          <w:p>
            <w:pPr>
              <w:spacing w:line="240" w:lineRule="auto" w:before="20" w:after="20"/>
              <w:ind w:firstLine="0"/>
            </w:pPr>
            <w:r/>
            <w:r>
              <w:rPr>
                <w:rFonts w:ascii="Times New Roman" w:hAnsi="Times New Roman" w:cs="Times New Roman"/>
                <w:b w:val="0"/>
                <w:i w:val="0"/>
                <w:sz w:val="22"/>
              </w:rPr>
              <w:t>Executor e benchmark (Pier e DeepSWE, licença Apache-2.0)</w:t>
            </w:r>
          </w:p>
        </w:tc>
        <w:tc>
          <w:tcPr>
            <w:tcW w:type="dxa" w:w="2551"/>
          </w:tcPr>
          <w:p>
            <w:pPr>
              <w:spacing w:line="240" w:lineRule="auto" w:before="20" w:after="20"/>
              <w:ind w:firstLine="0"/>
              <w:jc w:val="center"/>
            </w:pPr>
            <w:r/>
            <w:r>
              <w:rPr>
                <w:rFonts w:ascii="Times New Roman" w:hAnsi="Times New Roman" w:cs="Times New Roman"/>
                <w:b w:val="0"/>
                <w:i w:val="0"/>
                <w:sz w:val="22"/>
              </w:rPr>
              <w:t>R$ 0,00</w:t>
            </w:r>
          </w:p>
        </w:tc>
      </w:tr>
      <w:tr>
        <w:tc>
          <w:tcPr>
            <w:tcW w:type="dxa" w:w="6520"/>
          </w:tcPr>
          <w:p>
            <w:pPr>
              <w:spacing w:line="240" w:lineRule="auto" w:before="20" w:after="20"/>
              <w:ind w:firstLine="0"/>
            </w:pPr>
            <w:r/>
            <w:r>
              <w:rPr>
                <w:rFonts w:ascii="Times New Roman" w:hAnsi="Times New Roman" w:cs="Times New Roman"/>
                <w:b w:val="0"/>
                <w:i w:val="0"/>
                <w:sz w:val="22"/>
              </w:rPr>
              <w:t>Máquinas (estação pessoal NixOS e estação pessoal Windows)</w:t>
            </w:r>
          </w:p>
        </w:tc>
        <w:tc>
          <w:tcPr>
            <w:tcW w:type="dxa" w:w="2551"/>
          </w:tcPr>
          <w:p>
            <w:pPr>
              <w:spacing w:line="240" w:lineRule="auto" w:before="20" w:after="20"/>
              <w:ind w:firstLine="0"/>
              <w:jc w:val="center"/>
            </w:pPr>
            <w:r/>
            <w:r>
              <w:rPr>
                <w:rFonts w:ascii="Times New Roman" w:hAnsi="Times New Roman" w:cs="Times New Roman"/>
                <w:b w:val="0"/>
                <w:i w:val="0"/>
                <w:sz w:val="22"/>
              </w:rPr>
              <w:t>R$ 0,00 — já disponíveis</w:t>
            </w:r>
          </w:p>
        </w:tc>
      </w:tr>
      <w:tr>
        <w:tc>
          <w:tcPr>
            <w:tcW w:type="dxa" w:w="6520"/>
          </w:tcPr>
          <w:p>
            <w:pPr>
              <w:spacing w:line="240" w:lineRule="auto" w:before="20" w:after="20"/>
              <w:ind w:firstLine="0"/>
            </w:pPr>
            <w:r/>
            <w:r>
              <w:rPr>
                <w:rFonts w:ascii="Times New Roman" w:hAnsi="Times New Roman" w:cs="Times New Roman"/>
                <w:b/>
                <w:i w:val="0"/>
                <w:sz w:val="22"/>
              </w:rPr>
              <w:t>Total</w:t>
            </w:r>
          </w:p>
        </w:tc>
        <w:tc>
          <w:tcPr>
            <w:tcW w:type="dxa" w:w="2551"/>
          </w:tcPr>
          <w:p>
            <w:pPr>
              <w:spacing w:line="240" w:lineRule="auto" w:before="20" w:after="20"/>
              <w:ind w:firstLine="0"/>
              <w:jc w:val="center"/>
            </w:pPr>
            <w:r/>
            <w:r>
              <w:rPr>
                <w:rFonts w:ascii="Times New Roman" w:hAnsi="Times New Roman" w:cs="Times New Roman"/>
                <w:b/>
                <w:i w:val="0"/>
                <w:sz w:val="22"/>
              </w:rPr>
              <w:t>R$ 0,00</w:t>
            </w:r>
          </w:p>
        </w:tc>
      </w:tr>
    </w:tbl>
    <w:p>
      <w:pPr>
        <w:keepNext w:val="0"/>
        <w:spacing w:line="240" w:lineRule="auto" w:before="40" w:after="120"/>
        <w:ind w:firstLine="0"/>
        <w:jc w:val="left"/>
      </w:pPr>
      <w:r>
        <w:rPr>
          <w:rFonts w:ascii="Times New Roman" w:hAnsi="Times New Roman" w:cs="Times New Roman"/>
          <w:b w:val="0"/>
          <w:i w:val="0"/>
          <w:sz w:val="20"/>
        </w:rPr>
        <w:t>Fonte: elaborado pelo autor (2026).</w:t>
      </w:r>
    </w:p>
    <w:p>
      <w:pPr>
        <w:spacing w:line="360" w:lineRule="auto" w:before="0" w:after="0"/>
        <w:ind w:firstLine="709"/>
        <w:jc w:val="both"/>
      </w:pPr>
      <w:r>
        <w:rPr>
          <w:rFonts w:ascii="Times New Roman" w:hAnsi="Times New Roman" w:cs="Times New Roman"/>
          <w:b w:val="0"/>
          <w:i w:val="0"/>
          <w:sz w:val="24"/>
        </w:rPr>
        <w:t xml:space="preserve">O total em dinheiro é zero, e o limite que restringe o experimento é a cota: cerca de 10 requisições a cada 6 minutos, medidas neste projeto, contra o número de requisições que uma tarefa do DeepSWE consome nas tarefas-piloto. Por isso a matriz é executada em lotes distribuídos ao longo de dias, e o custo monetário aparece apenas como contrafactual de ordem de grandeza sobre as tarifas pagas publicadas.</w:t>
      </w:r>
    </w:p>
    <w:p>
      <w:pPr>
        <w:keepNext/>
        <w:spacing w:line="360" w:lineRule="auto" w:before="240" w:after="120"/>
        <w:ind w:firstLine="0"/>
      </w:pPr>
      <w:r>
        <w:rPr>
          <w:rFonts w:ascii="Times New Roman" w:hAnsi="Times New Roman" w:cs="Times New Roman"/>
          <w:b/>
          <w:i w:val="0"/>
          <w:sz w:val="28"/>
        </w:rPr>
        <w:t>5 CRONOGRAMA</w:t>
      </w:r>
    </w:p>
    <w:p>
      <w:pPr>
        <w:spacing w:line="360" w:lineRule="auto" w:before="0" w:after="0"/>
        <w:ind w:firstLine="709"/>
        <w:jc w:val="both"/>
      </w:pPr>
      <w:r>
        <w:rPr>
          <w:rFonts w:ascii="Times New Roman" w:hAnsi="Times New Roman" w:cs="Times New Roman"/>
          <w:b w:val="0"/>
          <w:i w:val="0"/>
          <w:sz w:val="24"/>
        </w:rPr>
        <w:t xml:space="preserve">A cadência é de um lote da matriz por dia, porque a cota gratuita é o limite vinculante, e por isso o calendário se estende por semanas. A folga está concentrada na execução da matriz e nos portões de confiabilidade dos braços, onde está o risco. Os meses vão de setembro de 2026, mês de entrega deste projeto, a janeiro de 2027.</w:t>
      </w:r>
    </w:p>
    <w:p>
      <w:pPr>
        <w:keepNext/>
        <w:spacing w:line="240" w:lineRule="auto" w:before="120" w:after="40"/>
        <w:ind w:firstLine="0"/>
        <w:jc w:val="left"/>
      </w:pPr>
      <w:r>
        <w:rPr>
          <w:rFonts w:ascii="Times New Roman" w:hAnsi="Times New Roman" w:cs="Times New Roman"/>
          <w:b w:val="0"/>
          <w:i w:val="0"/>
          <w:sz w:val="20"/>
        </w:rPr>
        <w:t>Tabela 3 – Cronograma de execução</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4309"/>
          </w:tcPr>
          <w:p>
            <w:pPr>
              <w:spacing w:line="240" w:lineRule="auto" w:before="20" w:after="20"/>
              <w:ind w:firstLine="0"/>
            </w:pPr>
            <w:r/>
            <w:r>
              <w:rPr>
                <w:rFonts w:ascii="Times New Roman" w:hAnsi="Times New Roman" w:cs="Times New Roman"/>
                <w:b/>
                <w:i w:val="0"/>
                <w:sz w:val="18"/>
              </w:rPr>
              <w:t>FASES</w:t>
            </w:r>
          </w:p>
        </w:tc>
        <w:tc>
          <w:tcPr>
            <w:tcW w:type="dxa" w:w="952"/>
          </w:tcPr>
          <w:p>
            <w:pPr>
              <w:spacing w:line="240" w:lineRule="auto" w:before="20" w:after="20"/>
              <w:ind w:firstLine="0"/>
              <w:jc w:val="center"/>
            </w:pPr>
            <w:r/>
            <w:r>
              <w:rPr>
                <w:rFonts w:ascii="Times New Roman" w:hAnsi="Times New Roman" w:cs="Times New Roman"/>
                <w:b/>
                <w:i w:val="0"/>
                <w:sz w:val="18"/>
              </w:rPr>
              <w:t>SETEMBRO</w:t>
            </w:r>
          </w:p>
        </w:tc>
        <w:tc>
          <w:tcPr>
            <w:tcW w:type="dxa" w:w="952"/>
          </w:tcPr>
          <w:p>
            <w:pPr>
              <w:spacing w:line="240" w:lineRule="auto" w:before="20" w:after="20"/>
              <w:ind w:firstLine="0"/>
              <w:jc w:val="center"/>
            </w:pPr>
            <w:r/>
            <w:r>
              <w:rPr>
                <w:rFonts w:ascii="Times New Roman" w:hAnsi="Times New Roman" w:cs="Times New Roman"/>
                <w:b/>
                <w:i w:val="0"/>
                <w:sz w:val="18"/>
              </w:rPr>
              <w:t>OUTUBRO</w:t>
            </w:r>
          </w:p>
        </w:tc>
        <w:tc>
          <w:tcPr>
            <w:tcW w:type="dxa" w:w="952"/>
          </w:tcPr>
          <w:p>
            <w:pPr>
              <w:spacing w:line="240" w:lineRule="auto" w:before="20" w:after="20"/>
              <w:ind w:firstLine="0"/>
              <w:jc w:val="center"/>
            </w:pPr>
            <w:r/>
            <w:r>
              <w:rPr>
                <w:rFonts w:ascii="Times New Roman" w:hAnsi="Times New Roman" w:cs="Times New Roman"/>
                <w:b/>
                <w:i w:val="0"/>
                <w:sz w:val="18"/>
              </w:rPr>
              <w:t>NOVEMBRO</w:t>
            </w:r>
          </w:p>
        </w:tc>
        <w:tc>
          <w:tcPr>
            <w:tcW w:type="dxa" w:w="952"/>
          </w:tcPr>
          <w:p>
            <w:pPr>
              <w:spacing w:line="240" w:lineRule="auto" w:before="20" w:after="20"/>
              <w:ind w:firstLine="0"/>
              <w:jc w:val="center"/>
            </w:pPr>
            <w:r/>
            <w:r>
              <w:rPr>
                <w:rFonts w:ascii="Times New Roman" w:hAnsi="Times New Roman" w:cs="Times New Roman"/>
                <w:b/>
                <w:i w:val="0"/>
                <w:sz w:val="18"/>
              </w:rPr>
              <w:t>DEZEMBRO</w:t>
            </w:r>
          </w:p>
        </w:tc>
        <w:tc>
          <w:tcPr>
            <w:tcW w:type="dxa" w:w="952"/>
          </w:tcPr>
          <w:p>
            <w:pPr>
              <w:spacing w:line="240" w:lineRule="auto" w:before="20" w:after="20"/>
              <w:ind w:firstLine="0"/>
              <w:jc w:val="center"/>
            </w:pPr>
            <w:r/>
            <w:r>
              <w:rPr>
                <w:rFonts w:ascii="Times New Roman" w:hAnsi="Times New Roman" w:cs="Times New Roman"/>
                <w:b/>
                <w:i w:val="0"/>
                <w:sz w:val="18"/>
              </w:rPr>
              <w:t>JANEIRO</w:t>
            </w:r>
          </w:p>
        </w:tc>
      </w:tr>
      <w:tr>
        <w:tc>
          <w:tcPr>
            <w:tcW w:type="dxa" w:w="4309"/>
          </w:tcPr>
          <w:p>
            <w:pPr>
              <w:spacing w:line="240" w:lineRule="auto" w:before="20" w:after="20"/>
              <w:ind w:firstLine="0"/>
            </w:pPr>
            <w:r/>
            <w:r>
              <w:rPr>
                <w:rFonts w:ascii="Times New Roman" w:hAnsi="Times New Roman" w:cs="Times New Roman"/>
                <w:b w:val="0"/>
                <w:i w:val="0"/>
                <w:sz w:val="18"/>
              </w:rPr>
              <w:t>LEITURA E LEVANTAMENTO BIBLIOGRÁFICO</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DEFINIÇÃO DO TEMA, DO PROBLEMA E DAS HIPÓTESES</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CONSTRUÇÃO DO INSTRUMENTO E DO HARNESS ZERO</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ESCREVENDO INTRODUÇÃO</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ESCREVENDO REFERENCIAL TEÓRICO</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ESCREVENDO MATERIAL E MÉTODO</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p>
        </w:tc>
      </w:tr>
      <w:tr>
        <w:tc>
          <w:tcPr>
            <w:tcW w:type="dxa" w:w="4309"/>
          </w:tcPr>
          <w:p>
            <w:pPr>
              <w:spacing w:line="240" w:lineRule="auto" w:before="20" w:after="20"/>
              <w:ind w:firstLine="0"/>
            </w:pPr>
            <w:r/>
            <w:r>
              <w:rPr>
                <w:rFonts w:ascii="Times New Roman" w:hAnsi="Times New Roman" w:cs="Times New Roman"/>
                <w:b w:val="0"/>
                <w:i w:val="0"/>
                <w:sz w:val="18"/>
              </w:rPr>
              <w:t>EXECUÇÃO DA MATRIZ DE EXPERIMENTOS</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c>
          <w:tcPr>
            <w:tcW w:type="dxa" w:w="952"/>
          </w:tcPr>
          <w:p>
            <w:pPr>
              <w:spacing w:line="240" w:lineRule="auto" w:before="20" w:after="20"/>
              <w:ind w:firstLine="0"/>
              <w:jc w:val="center"/>
            </w:pPr>
            <w:r/>
            <w:r>
              <w:rPr>
                <w:rFonts w:ascii="Times New Roman" w:hAnsi="Times New Roman" w:cs="Times New Roman"/>
                <w:b w:val="0"/>
                <w:i w:val="0"/>
                <w:sz w:val="18"/>
              </w:rPr>
              <w:t>X</w:t>
            </w:r>
          </w:p>
        </w:tc>
      </w:tr>
      <w:tr>
        <w:tc>
          <w:tcPr>
            <w:tcW w:type="dxa" w:w="4309"/>
          </w:tcPr>
          <w:p>
            <w:pPr>
              <w:spacing w:line="240" w:lineRule="auto" w:before="20" w:after="20"/>
              <w:ind w:firstLine="0"/>
            </w:pPr>
            <w:r/>
            <w:r>
              <w:rPr>
                <w:rFonts w:ascii="Times New Roman" w:hAnsi="Times New Roman" w:cs="Times New Roman"/>
                <w:b w:val="0"/>
                <w:i w:val="0"/>
                <w:sz w:val="18"/>
              </w:rPr>
              <w:t>ANÁLISE DOS RESULTADOS</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r>
      <w:tr>
        <w:tc>
          <w:tcPr>
            <w:tcW w:type="dxa" w:w="4309"/>
          </w:tcPr>
          <w:p>
            <w:pPr>
              <w:spacing w:line="240" w:lineRule="auto" w:before="20" w:after="20"/>
              <w:ind w:firstLine="0"/>
            </w:pPr>
            <w:r/>
            <w:r>
              <w:rPr>
                <w:rFonts w:ascii="Times New Roman" w:hAnsi="Times New Roman" w:cs="Times New Roman"/>
                <w:b w:val="0"/>
                <w:i w:val="0"/>
                <w:sz w:val="18"/>
              </w:rPr>
              <w:t>ELABORANDO AS REFERÊNCIAS</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r>
      <w:tr>
        <w:tc>
          <w:tcPr>
            <w:tcW w:type="dxa" w:w="4309"/>
          </w:tcPr>
          <w:p>
            <w:pPr>
              <w:spacing w:line="240" w:lineRule="auto" w:before="20" w:after="20"/>
              <w:ind w:firstLine="0"/>
            </w:pPr>
            <w:r/>
            <w:r>
              <w:rPr>
                <w:rFonts w:ascii="Times New Roman" w:hAnsi="Times New Roman" w:cs="Times New Roman"/>
                <w:b w:val="0"/>
                <w:i w:val="0"/>
                <w:sz w:val="18"/>
              </w:rPr>
              <w:t>REVISÃO FINAL E PREPARAÇÃO DA APRESENTAÇÃO</w:t>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p>
        </w:tc>
        <w:tc>
          <w:tcPr>
            <w:tcW w:type="dxa" w:w="952"/>
          </w:tcPr>
          <w:p>
            <w:pPr>
              <w:spacing w:line="240" w:lineRule="auto" w:before="20" w:after="20"/>
              <w:ind w:firstLine="0"/>
              <w:jc w:val="center"/>
            </w:pPr>
            <w:r/>
            <w:r>
              <w:rPr>
                <w:rFonts w:ascii="Times New Roman" w:hAnsi="Times New Roman" w:cs="Times New Roman"/>
                <w:b w:val="0"/>
                <w:i w:val="0"/>
                <w:sz w:val="18"/>
              </w:rPr>
              <w:t>X</w:t>
            </w:r>
          </w:p>
        </w:tc>
      </w:tr>
    </w:tbl>
    <w:p>
      <w:pPr>
        <w:keepNext w:val="0"/>
        <w:spacing w:line="240" w:lineRule="auto" w:before="40" w:after="120"/>
        <w:ind w:firstLine="0"/>
        <w:jc w:val="left"/>
      </w:pPr>
      <w:r>
        <w:rPr>
          <w:rFonts w:ascii="Times New Roman" w:hAnsi="Times New Roman" w:cs="Times New Roman"/>
          <w:b w:val="0"/>
          <w:i w:val="0"/>
          <w:sz w:val="20"/>
        </w:rPr>
        <w:t>Fonte: elaborado pelo autor (2026).</w:t>
      </w:r>
    </w:p>
    <w:p>
      <w:pPr>
        <w:keepNext/>
        <w:spacing w:line="360" w:lineRule="auto" w:before="240" w:after="120"/>
        <w:ind w:firstLine="0"/>
      </w:pPr>
      <w:r>
        <w:rPr>
          <w:rFonts w:ascii="Times New Roman" w:hAnsi="Times New Roman" w:cs="Times New Roman"/>
          <w:b/>
          <w:i w:val="0"/>
          <w:sz w:val="28"/>
        </w:rPr>
        <w:t>6 REFERÊNCIAS</w:t>
      </w:r>
    </w:p>
    <w:p>
      <w:pPr>
        <w:spacing w:line="240" w:lineRule="auto" w:before="0" w:after="240"/>
        <w:ind w:firstLine="0"/>
        <w:jc w:val="left"/>
      </w:pPr>
      <w:r>
        <w:rPr>
          <w:rFonts w:ascii="Times New Roman" w:hAnsi="Times New Roman" w:cs="Times New Roman"/>
          <w:b w:val="0"/>
          <w:i w:val="0"/>
          <w:sz w:val="24"/>
        </w:rPr>
        <w:t xml:space="preserve">ALIER FORMENT, Marc; CASAÑ GUERRERO, María José; GARCÍA-PEÑALVO, Francisco José; PEREIRA, Juanan. </w:t>
      </w:r>
      <w:r>
        <w:rPr>
          <w:rFonts w:ascii="Times New Roman" w:hAnsi="Times New Roman" w:cs="Times New Roman"/>
          <w:b/>
          <w:i w:val="0"/>
          <w:sz w:val="24"/>
        </w:rPr>
        <w:t xml:space="preserve">The scaffolding matters more than the interface</w:t>
      </w:r>
      <w:r>
        <w:rPr>
          <w:rFonts w:ascii="Times New Roman" w:hAnsi="Times New Roman" w:cs="Times New Roman"/>
          <w:b w:val="0"/>
          <w:i w:val="0"/>
          <w:sz w:val="24"/>
        </w:rPr>
        <w:t xml:space="preserve">: a controlled comparison of MCP and CLI tool use across seven agent scaffoldings, five language models, and one software task. arXiv:2608.08654,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https://arxiv.org/abs/2608.08654. Acesso em: 9 set. 2026.</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6023</w:t>
      </w:r>
      <w:r>
        <w:rPr>
          <w:rFonts w:ascii="Times New Roman" w:hAnsi="Times New Roman" w:cs="Times New Roman"/>
          <w:b w:val="0"/>
          <w:i w:val="0"/>
          <w:sz w:val="24"/>
        </w:rPr>
        <w:t xml:space="preserve">: informação e documentação: referências: elaboração. Rio de Janeiro: ABNT, 2025a.</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10520</w:t>
      </w:r>
      <w:r>
        <w:rPr>
          <w:rFonts w:ascii="Times New Roman" w:hAnsi="Times New Roman" w:cs="Times New Roman"/>
          <w:b w:val="0"/>
          <w:i w:val="0"/>
          <w:sz w:val="24"/>
        </w:rPr>
        <w:t xml:space="preserve">: informação e documentação: citações em documentos: apresentação. Rio de Janeiro: ABNT, 2023.</w:t>
      </w:r>
    </w:p>
    <w:p>
      <w:pPr>
        <w:spacing w:line="240" w:lineRule="auto" w:before="0" w:after="240"/>
        <w:ind w:firstLine="0"/>
        <w:jc w:val="left"/>
      </w:pPr>
      <w:r>
        <w:rPr>
          <w:rFonts w:ascii="Times New Roman" w:hAnsi="Times New Roman" w:cs="Times New Roman"/>
          <w:b w:val="0"/>
          <w:i w:val="0"/>
          <w:sz w:val="24"/>
        </w:rPr>
        <w:t xml:space="preserve">ASSOCIAÇÃO BRASILEIRA DE NORMAS TÉCNICAS. </w:t>
      </w:r>
      <w:r>
        <w:rPr>
          <w:rFonts w:ascii="Times New Roman" w:hAnsi="Times New Roman" w:cs="Times New Roman"/>
          <w:b/>
          <w:i w:val="0"/>
          <w:sz w:val="24"/>
        </w:rPr>
        <w:t xml:space="preserve">ABNT NBR 15287</w:t>
      </w:r>
      <w:r>
        <w:rPr>
          <w:rFonts w:ascii="Times New Roman" w:hAnsi="Times New Roman" w:cs="Times New Roman"/>
          <w:b w:val="0"/>
          <w:i w:val="0"/>
          <w:sz w:val="24"/>
        </w:rPr>
        <w:t xml:space="preserve">: informação e documentação: projeto de pesquisa: apresentação. Rio de Janeiro: ABNT, 2025b.</w:t>
      </w:r>
    </w:p>
    <w:p>
      <w:pPr>
        <w:spacing w:line="240" w:lineRule="auto" w:before="0" w:after="240"/>
        <w:ind w:firstLine="0"/>
        <w:jc w:val="left"/>
      </w:pPr>
      <w:r>
        <w:rPr>
          <w:rFonts w:ascii="Times New Roman" w:hAnsi="Times New Roman" w:cs="Times New Roman"/>
          <w:b w:val="0"/>
          <w:i w:val="0"/>
          <w:sz w:val="24"/>
        </w:rPr>
        <w:t xml:space="preserve">DATACURVE. </w:t>
      </w:r>
      <w:r>
        <w:rPr>
          <w:rFonts w:ascii="Times New Roman" w:hAnsi="Times New Roman" w:cs="Times New Roman"/>
          <w:b/>
          <w:i w:val="0"/>
          <w:sz w:val="24"/>
        </w:rPr>
        <w:t xml:space="preserve">Pier</w:t>
      </w:r>
      <w:r>
        <w:rPr>
          <w:rFonts w:ascii="Times New Roman" w:hAnsi="Times New Roman" w:cs="Times New Roman"/>
          <w:b w:val="0"/>
          <w:i w:val="0"/>
          <w:sz w:val="24"/>
        </w:rPr>
        <w:t xml:space="preserve">: a Harbor fork built for DeepSWE. 2026. Repositório de código. Disponível em: https://github.com/datacurve-ai/pier. Acesso em: 28 ago. 2026.</w:t>
      </w:r>
    </w:p>
    <w:p>
      <w:pPr>
        <w:spacing w:line="240" w:lineRule="auto" w:before="0" w:after="240"/>
        <w:ind w:firstLine="0"/>
        <w:jc w:val="left"/>
      </w:pPr>
      <w:r>
        <w:rPr>
          <w:rFonts w:ascii="Times New Roman" w:hAnsi="Times New Roman" w:cs="Times New Roman"/>
          <w:b w:val="0"/>
          <w:i w:val="0"/>
          <w:sz w:val="24"/>
        </w:rPr>
        <w:t xml:space="preserve">EARENDIL. </w:t>
      </w:r>
      <w:r>
        <w:rPr>
          <w:rFonts w:ascii="Times New Roman" w:hAnsi="Times New Roman" w:cs="Times New Roman"/>
          <w:b/>
          <w:i w:val="0"/>
          <w:sz w:val="24"/>
        </w:rPr>
        <w:t xml:space="preserve">Pi, minimal and performant</w:t>
      </w:r>
      <w:r>
        <w:rPr>
          <w:rFonts w:ascii="Times New Roman" w:hAnsi="Times New Roman" w:cs="Times New Roman"/>
          <w:b w:val="0"/>
          <w:i w:val="0"/>
          <w:sz w:val="24"/>
        </w:rPr>
        <w:t xml:space="preserve">. 2026. Publicação de blogue institucional. Disponível em: https://earendil.com/posts/pi-autoresearch-and-databricks/. Acesso em: 28 ago. 2026.</w:t>
      </w:r>
    </w:p>
    <w:p>
      <w:pPr>
        <w:spacing w:line="240" w:lineRule="auto" w:before="0" w:after="240"/>
        <w:ind w:firstLine="0"/>
        <w:jc w:val="left"/>
      </w:pPr>
      <w:r>
        <w:rPr>
          <w:rFonts w:ascii="Times New Roman" w:hAnsi="Times New Roman" w:cs="Times New Roman"/>
          <w:b w:val="0"/>
          <w:i w:val="0"/>
          <w:sz w:val="24"/>
        </w:rPr>
        <w:t xml:space="preserve">GIL, Antonio Carlos. </w:t>
      </w:r>
      <w:r>
        <w:rPr>
          <w:rFonts w:ascii="Times New Roman" w:hAnsi="Times New Roman" w:cs="Times New Roman"/>
          <w:b/>
          <w:i w:val="0"/>
          <w:sz w:val="24"/>
        </w:rPr>
        <w:t xml:space="preserve">Como elaborar projetos de pesquisa</w:t>
      </w:r>
      <w:r>
        <w:rPr>
          <w:rFonts w:ascii="Times New Roman" w:hAnsi="Times New Roman" w:cs="Times New Roman"/>
          <w:b w:val="0"/>
          <w:i w:val="0"/>
          <w:sz w:val="24"/>
        </w:rPr>
        <w:t xml:space="preserve">. 7. ed. São Paulo: Atlas, 2022.</w:t>
      </w:r>
    </w:p>
    <w:p>
      <w:pPr>
        <w:spacing w:line="240" w:lineRule="auto" w:before="0" w:after="240"/>
        <w:ind w:firstLine="0"/>
        <w:jc w:val="left"/>
      </w:pPr>
      <w:r>
        <w:rPr>
          <w:rFonts w:ascii="Times New Roman" w:hAnsi="Times New Roman" w:cs="Times New Roman"/>
          <w:b w:val="0"/>
          <w:i w:val="0"/>
          <w:sz w:val="24"/>
        </w:rPr>
        <w:t xml:space="preserve">HARNESSRANK. </w:t>
      </w:r>
      <w:r>
        <w:rPr>
          <w:rFonts w:ascii="Times New Roman" w:hAnsi="Times New Roman" w:cs="Times New Roman"/>
          <w:b/>
          <w:i w:val="0"/>
          <w:sz w:val="24"/>
        </w:rPr>
        <w:t xml:space="preserve">HarnessRank</w:t>
      </w:r>
      <w:r>
        <w:rPr>
          <w:rFonts w:ascii="Times New Roman" w:hAnsi="Times New Roman" w:cs="Times New Roman"/>
          <w:b w:val="0"/>
          <w:i w:val="0"/>
          <w:sz w:val="24"/>
        </w:rPr>
        <w:t xml:space="preserve">: coding-agent harness rankings. 2026. Disponível em: https://harnessrank.net/. Acesso em: 28 ago. 2026.</w:t>
      </w:r>
    </w:p>
    <w:p>
      <w:pPr>
        <w:spacing w:line="240" w:lineRule="auto" w:before="0" w:after="240"/>
        <w:ind w:firstLine="0"/>
        <w:jc w:val="left"/>
      </w:pPr>
      <w:r>
        <w:rPr>
          <w:rFonts w:ascii="Times New Roman" w:hAnsi="Times New Roman" w:cs="Times New Roman"/>
          <w:b w:val="0"/>
          <w:i w:val="0"/>
          <w:sz w:val="24"/>
        </w:rPr>
        <w:t xml:space="preserve">HUANG, Wenqi; LEE, Charley; TNG, Leonard; GE, Serena. </w:t>
      </w:r>
      <w:r>
        <w:rPr>
          <w:rFonts w:ascii="Times New Roman" w:hAnsi="Times New Roman" w:cs="Times New Roman"/>
          <w:b/>
          <w:i w:val="0"/>
          <w:sz w:val="24"/>
        </w:rPr>
        <w:t xml:space="preserve">DeepSWE</w:t>
      </w:r>
      <w:r>
        <w:rPr>
          <w:rFonts w:ascii="Times New Roman" w:hAnsi="Times New Roman" w:cs="Times New Roman"/>
          <w:b w:val="0"/>
          <w:i w:val="0"/>
          <w:sz w:val="24"/>
        </w:rPr>
        <w:t xml:space="preserve">: measuring frontier coding agents on original, long-horizon engineering tasks. arXiv:2607.07946,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https://arxiv.org/abs/2607.07946. Acesso em: 28 ago. 2026.</w:t>
      </w:r>
    </w:p>
    <w:p>
      <w:pPr>
        <w:spacing w:line="240" w:lineRule="auto" w:before="0" w:after="240"/>
        <w:ind w:firstLine="0"/>
        <w:jc w:val="left"/>
      </w:pPr>
      <w:r>
        <w:rPr>
          <w:rFonts w:ascii="Times New Roman" w:hAnsi="Times New Roman" w:cs="Times New Roman"/>
          <w:b w:val="0"/>
          <w:i w:val="0"/>
          <w:sz w:val="24"/>
        </w:rPr>
        <w:t xml:space="preserve">INSTITUTO FEDERAL DE EDUCAÇÃO, CIÊNCIA E TECNOLOGIA DE MATO GROSSO. </w:t>
      </w:r>
      <w:r>
        <w:rPr>
          <w:rFonts w:ascii="Times New Roman" w:hAnsi="Times New Roman" w:cs="Times New Roman"/>
          <w:b/>
          <w:i w:val="0"/>
          <w:sz w:val="24"/>
        </w:rPr>
        <w:t xml:space="preserve">Normas básicas e padrões para a elaboração do Projeto de Conclusão de Curso (PCC)</w:t>
      </w:r>
      <w:r>
        <w:rPr>
          <w:rFonts w:ascii="Times New Roman" w:hAnsi="Times New Roman" w:cs="Times New Roman"/>
          <w:b w:val="0"/>
          <w:i w:val="0"/>
          <w:sz w:val="24"/>
        </w:rPr>
        <w:t xml:space="preserve">. Cuiabá: Campus Octayde Jorge da Silva, Departamento de Área de Informática, 2022.</w:t>
      </w:r>
    </w:p>
    <w:p>
      <w:pPr>
        <w:spacing w:line="240" w:lineRule="auto" w:before="0" w:after="240"/>
        <w:ind w:firstLine="0"/>
        <w:jc w:val="left"/>
      </w:pPr>
      <w:r>
        <w:rPr>
          <w:rFonts w:ascii="Times New Roman" w:hAnsi="Times New Roman" w:cs="Times New Roman"/>
          <w:b w:val="0"/>
          <w:i w:val="0"/>
          <w:sz w:val="24"/>
        </w:rPr>
        <w:t xml:space="preserve">JIMENEZ, Carlos E.; YANG, John; WETTIG, Alexander; YAO, Shunyu; PEI, Kexin; PRESS, Ofir; NARASIMHAN, Karthik. </w:t>
      </w:r>
      <w:r>
        <w:rPr>
          <w:rFonts w:ascii="Times New Roman" w:hAnsi="Times New Roman" w:cs="Times New Roman"/>
          <w:b/>
          <w:i w:val="0"/>
          <w:sz w:val="24"/>
        </w:rPr>
        <w:t xml:space="preserve">SWE-bench</w:t>
      </w:r>
      <w:r>
        <w:rPr>
          <w:rFonts w:ascii="Times New Roman" w:hAnsi="Times New Roman" w:cs="Times New Roman"/>
          <w:b w:val="0"/>
          <w:i w:val="0"/>
          <w:sz w:val="24"/>
        </w:rPr>
        <w:t xml:space="preserve">: can language models resolve real-world GitHub issues? arXiv:2310.06770, 2023. Trabalho apresentado na International Conference on Learning Representations (ICLR), 2024. Disponível em: https://arxiv.org/abs/2310.06770. Acesso em: 28 ago. 2026.</w:t>
      </w:r>
    </w:p>
    <w:p>
      <w:pPr>
        <w:spacing w:line="240" w:lineRule="auto" w:before="0" w:after="240"/>
        <w:ind w:firstLine="0"/>
        <w:jc w:val="left"/>
      </w:pPr>
      <w:r>
        <w:rPr>
          <w:rFonts w:ascii="Times New Roman" w:hAnsi="Times New Roman" w:cs="Times New Roman"/>
          <w:b w:val="0"/>
          <w:i w:val="0"/>
          <w:sz w:val="24"/>
        </w:rPr>
        <w:t xml:space="preserve">KAPOOR, Sayash; STROEBL, Benedikt; SIEGEL, Zachary S.; NADGIR, Nitya; NARAYANAN, Arvind. </w:t>
      </w:r>
      <w:r>
        <w:rPr>
          <w:rFonts w:ascii="Times New Roman" w:hAnsi="Times New Roman" w:cs="Times New Roman"/>
          <w:b/>
          <w:i w:val="0"/>
          <w:sz w:val="24"/>
        </w:rPr>
        <w:t xml:space="preserve">AI agents that matter</w:t>
      </w:r>
      <w:r>
        <w:rPr>
          <w:rFonts w:ascii="Times New Roman" w:hAnsi="Times New Roman" w:cs="Times New Roman"/>
          <w:b w:val="0"/>
          <w:i w:val="0"/>
          <w:sz w:val="24"/>
        </w:rPr>
        <w:t xml:space="preserve">. arXiv:2407.01502, 2024.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https://arxiv.org/abs/2407.01502. Acesso em: 28 ago. 2026.</w:t>
      </w:r>
    </w:p>
    <w:p>
      <w:pPr>
        <w:spacing w:line="240" w:lineRule="auto" w:before="0" w:after="240"/>
        <w:ind w:firstLine="0"/>
        <w:jc w:val="left"/>
      </w:pPr>
      <w:r>
        <w:rPr>
          <w:rFonts w:ascii="Times New Roman" w:hAnsi="Times New Roman" w:cs="Times New Roman"/>
          <w:b w:val="0"/>
          <w:i w:val="0"/>
          <w:sz w:val="24"/>
        </w:rPr>
        <w:t xml:space="preserve">KAPOOR, Sayash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Holistic Agent Leaderboard</w:t>
      </w:r>
      <w:r>
        <w:rPr>
          <w:rFonts w:ascii="Times New Roman" w:hAnsi="Times New Roman" w:cs="Times New Roman"/>
          <w:b w:val="0"/>
          <w:i w:val="0"/>
          <w:sz w:val="24"/>
        </w:rPr>
        <w:t xml:space="preserve">: the missing infrastructure for AI agent evaluation. arXiv:2510.11977, 2025.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https://arxiv.org/abs/2510.11977. Acesso em: 28 ago. 2026.</w:t>
      </w:r>
    </w:p>
    <w:p>
      <w:pPr>
        <w:spacing w:line="240" w:lineRule="auto" w:before="0" w:after="240"/>
        <w:ind w:firstLine="0"/>
        <w:jc w:val="left"/>
      </w:pPr>
      <w:r>
        <w:rPr>
          <w:rFonts w:ascii="Times New Roman" w:hAnsi="Times New Roman" w:cs="Times New Roman"/>
          <w:b w:val="0"/>
          <w:i w:val="0"/>
          <w:sz w:val="24"/>
        </w:rPr>
        <w:t xml:space="preserve">LEE, Yoonho; NAIR, Roshen; ZHANG, Qizheng; LEE, Kangwook; KHATTAB, Omar; FINN, Chelsea. </w:t>
      </w:r>
      <w:r>
        <w:rPr>
          <w:rFonts w:ascii="Times New Roman" w:hAnsi="Times New Roman" w:cs="Times New Roman"/>
          <w:b/>
          <w:i w:val="0"/>
          <w:sz w:val="24"/>
        </w:rPr>
        <w:t xml:space="preserve">Meta-Harness</w:t>
      </w:r>
      <w:r>
        <w:rPr>
          <w:rFonts w:ascii="Times New Roman" w:hAnsi="Times New Roman" w:cs="Times New Roman"/>
          <w:b w:val="0"/>
          <w:i w:val="0"/>
          <w:sz w:val="24"/>
        </w:rPr>
        <w:t xml:space="preserve">: end-to-end optimization of model harnesses. arXiv:2603.28052,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https://arxiv.org/abs/2603.28052. Acesso em: 9 set. 2026.</w:t>
      </w:r>
    </w:p>
    <w:p>
      <w:pPr>
        <w:spacing w:line="240" w:lineRule="auto" w:before="0" w:after="240"/>
        <w:ind w:firstLine="0"/>
        <w:jc w:val="left"/>
      </w:pPr>
      <w:r>
        <w:rPr>
          <w:rFonts w:ascii="Times New Roman" w:hAnsi="Times New Roman" w:cs="Times New Roman"/>
          <w:b w:val="0"/>
          <w:i w:val="0"/>
          <w:sz w:val="24"/>
        </w:rPr>
        <w:t xml:space="preserve">LIN, Jiahang; LIU, Shichun; PAN, Chengjun; LIN, Lizhi; DOU, Shihan; XI, Zhiheng; HUANG, Xuanjing; YAN, Hang; HAN, Zhenhua; GUI, Tao; JIANG, Yu-Gang. </w:t>
      </w:r>
      <w:r>
        <w:rPr>
          <w:rFonts w:ascii="Times New Roman" w:hAnsi="Times New Roman" w:cs="Times New Roman"/>
          <w:b/>
          <w:i w:val="0"/>
          <w:sz w:val="24"/>
        </w:rPr>
        <w:t xml:space="preserve">Agentic harness engineering</w:t>
      </w:r>
      <w:r>
        <w:rPr>
          <w:rFonts w:ascii="Times New Roman" w:hAnsi="Times New Roman" w:cs="Times New Roman"/>
          <w:b w:val="0"/>
          <w:i w:val="0"/>
          <w:sz w:val="24"/>
        </w:rPr>
        <w:t xml:space="preserve">: observability-driven automatic evolution of coding-agent harnesses. arXiv:2604.25850,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https://arxiv.org/abs/2604.25850. Acesso em: 28 ago. 2026.</w:t>
      </w:r>
    </w:p>
    <w:p>
      <w:pPr>
        <w:spacing w:line="240" w:lineRule="auto" w:before="0" w:after="240"/>
        <w:ind w:firstLine="0"/>
        <w:jc w:val="left"/>
      </w:pPr>
      <w:r>
        <w:rPr>
          <w:rFonts w:ascii="Times New Roman" w:hAnsi="Times New Roman" w:cs="Times New Roman"/>
          <w:b w:val="0"/>
          <w:i w:val="0"/>
          <w:sz w:val="24"/>
        </w:rPr>
        <w:t xml:space="preserve">LIU, Nelson F.; LIN, Kevin; HEWITT, John; PARANJAPE, Ashwin; BEVILACQUA, Michele; PETRONI, Fabio; LIANG, Percy. </w:t>
      </w:r>
      <w:r>
        <w:rPr>
          <w:rFonts w:ascii="Times New Roman" w:hAnsi="Times New Roman" w:cs="Times New Roman"/>
          <w:b/>
          <w:i w:val="0"/>
          <w:sz w:val="24"/>
        </w:rPr>
        <w:t xml:space="preserve">Lost in the middle</w:t>
      </w:r>
      <w:r>
        <w:rPr>
          <w:rFonts w:ascii="Times New Roman" w:hAnsi="Times New Roman" w:cs="Times New Roman"/>
          <w:b w:val="0"/>
          <w:i w:val="0"/>
          <w:sz w:val="24"/>
        </w:rPr>
        <w:t xml:space="preserve">: how language models use long contexts. arXiv:2307.03172, 2023. Publicado em Transactions of the Association for Computational Linguistics (TACL). Disponível em: https://arxiv.org/abs/2307.03172. Acesso em: 28 ago. 2026.</w:t>
      </w:r>
    </w:p>
    <w:p>
      <w:pPr>
        <w:spacing w:line="240" w:lineRule="auto" w:before="0" w:after="240"/>
        <w:ind w:firstLine="0"/>
        <w:jc w:val="left"/>
      </w:pPr>
      <w:r>
        <w:rPr>
          <w:rFonts w:ascii="Times New Roman" w:hAnsi="Times New Roman" w:cs="Times New Roman"/>
          <w:b w:val="0"/>
          <w:i w:val="0"/>
          <w:sz w:val="24"/>
        </w:rPr>
        <w:t xml:space="preserve">MILLER, Evan. </w:t>
      </w:r>
      <w:r>
        <w:rPr>
          <w:rFonts w:ascii="Times New Roman" w:hAnsi="Times New Roman" w:cs="Times New Roman"/>
          <w:b/>
          <w:i w:val="0"/>
          <w:sz w:val="24"/>
        </w:rPr>
        <w:t xml:space="preserve">Adding error bars to evals</w:t>
      </w:r>
      <w:r>
        <w:rPr>
          <w:rFonts w:ascii="Times New Roman" w:hAnsi="Times New Roman" w:cs="Times New Roman"/>
          <w:b w:val="0"/>
          <w:i w:val="0"/>
          <w:sz w:val="24"/>
        </w:rPr>
        <w:t xml:space="preserve">: a statistical approach to language model evaluations. arXiv:2411.00640, 2024.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https://arxiv.org/abs/2411.00640. Acesso em: 28 ago. 2026.</w:t>
      </w:r>
    </w:p>
    <w:p>
      <w:pPr>
        <w:spacing w:line="240" w:lineRule="auto" w:before="0" w:after="240"/>
        <w:ind w:firstLine="0"/>
        <w:jc w:val="left"/>
      </w:pPr>
      <w:r>
        <w:rPr>
          <w:rFonts w:ascii="Times New Roman" w:hAnsi="Times New Roman" w:cs="Times New Roman"/>
          <w:b w:val="0"/>
          <w:i w:val="0"/>
          <w:sz w:val="24"/>
        </w:rPr>
        <w:t xml:space="preserve">NING, Xuying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Code as agent harness</w:t>
      </w:r>
      <w:r>
        <w:rPr>
          <w:rFonts w:ascii="Times New Roman" w:hAnsi="Times New Roman" w:cs="Times New Roman"/>
          <w:b w:val="0"/>
          <w:i w:val="0"/>
          <w:sz w:val="24"/>
        </w:rPr>
        <w:t xml:space="preserve">. arXiv:2605.18747,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https://arxiv.org/abs/2605.18747. Acesso em: 28 ago. 2026.</w:t>
      </w:r>
    </w:p>
    <w:p>
      <w:pPr>
        <w:spacing w:line="240" w:lineRule="auto" w:before="0" w:after="240"/>
        <w:ind w:firstLine="0"/>
        <w:jc w:val="left"/>
      </w:pPr>
      <w:r>
        <w:rPr>
          <w:rFonts w:ascii="Times New Roman" w:hAnsi="Times New Roman" w:cs="Times New Roman"/>
          <w:b w:val="0"/>
          <w:i w:val="0"/>
          <w:sz w:val="24"/>
        </w:rPr>
        <w:t xml:space="preserve">OPENCODE. </w:t>
      </w:r>
      <w:r>
        <w:rPr>
          <w:rFonts w:ascii="Times New Roman" w:hAnsi="Times New Roman" w:cs="Times New Roman"/>
          <w:b/>
          <w:i w:val="0"/>
          <w:sz w:val="24"/>
        </w:rPr>
        <w:t xml:space="preserve">Zen</w:t>
      </w:r>
      <w:r>
        <w:rPr>
          <w:rFonts w:ascii="Times New Roman" w:hAnsi="Times New Roman" w:cs="Times New Roman"/>
          <w:b w:val="0"/>
          <w:i w:val="0"/>
          <w:sz w:val="24"/>
        </w:rPr>
        <w:t xml:space="preserve">. 2026. Documentação do produto. Disponível em: https://opencode.ai/docs/zen/. Acesso em: 28 ago. 2026.</w:t>
      </w:r>
    </w:p>
    <w:p>
      <w:pPr>
        <w:spacing w:line="240" w:lineRule="auto" w:before="0" w:after="240"/>
        <w:ind w:firstLine="0"/>
        <w:jc w:val="left"/>
      </w:pPr>
      <w:r>
        <w:rPr>
          <w:rFonts w:ascii="Times New Roman" w:hAnsi="Times New Roman" w:cs="Times New Roman"/>
          <w:b w:val="0"/>
          <w:i w:val="0"/>
          <w:sz w:val="24"/>
        </w:rPr>
        <w:t xml:space="preserve">PRODANOV, Cleber Cristiano; FREITAS, Ernani Cesar de. </w:t>
      </w:r>
      <w:r>
        <w:rPr>
          <w:rFonts w:ascii="Times New Roman" w:hAnsi="Times New Roman" w:cs="Times New Roman"/>
          <w:b/>
          <w:i w:val="0"/>
          <w:sz w:val="24"/>
        </w:rPr>
        <w:t xml:space="preserve">Metodologia do trabalho científico</w:t>
      </w:r>
      <w:r>
        <w:rPr>
          <w:rFonts w:ascii="Times New Roman" w:hAnsi="Times New Roman" w:cs="Times New Roman"/>
          <w:b w:val="0"/>
          <w:i w:val="0"/>
          <w:sz w:val="24"/>
        </w:rPr>
        <w:t xml:space="preserve">: métodos e técnicas da pesquisa e do trabalho acadêmico. 2. ed. Novo Hamburgo: Feevale, 2013. Disponível em: https://www.feevale.br/Comum/midias/0163c988-1f5d-496f-b118-a6e009a7a2f9/E-book%20Metodologia%20do%20Trabalho%20Cientifico.pdf. Acesso em: 28 ago. 2026.</w:t>
      </w:r>
    </w:p>
    <w:p>
      <w:pPr>
        <w:spacing w:line="240" w:lineRule="auto" w:before="0" w:after="240"/>
        <w:ind w:firstLine="0"/>
        <w:jc w:val="left"/>
      </w:pPr>
      <w:r>
        <w:rPr>
          <w:rFonts w:ascii="Times New Roman" w:hAnsi="Times New Roman" w:cs="Times New Roman"/>
          <w:b w:val="0"/>
          <w:i w:val="0"/>
          <w:sz w:val="24"/>
        </w:rPr>
        <w:t xml:space="preserve">RUNTA. </w:t>
      </w:r>
      <w:r>
        <w:rPr>
          <w:rFonts w:ascii="Times New Roman" w:hAnsi="Times New Roman" w:cs="Times New Roman"/>
          <w:b/>
          <w:i w:val="0"/>
          <w:sz w:val="24"/>
        </w:rPr>
        <w:t xml:space="preserve">Introducing the FrontierHarness eval</w:t>
      </w:r>
      <w:r>
        <w:rPr>
          <w:rFonts w:ascii="Times New Roman" w:hAnsi="Times New Roman" w:cs="Times New Roman"/>
          <w:b w:val="0"/>
          <w:i w:val="0"/>
          <w:sz w:val="24"/>
        </w:rPr>
        <w:t xml:space="preserve">. 2026. Publicação de blogue institucional. Disponível em: https://runta.com/blog/introducing-frontierharness-eval/. Acesso em: 9 set. 2026.</w:t>
      </w:r>
    </w:p>
    <w:p>
      <w:pPr>
        <w:spacing w:line="240" w:lineRule="auto" w:before="0" w:after="240"/>
        <w:ind w:firstLine="0"/>
        <w:jc w:val="left"/>
      </w:pPr>
      <w:r>
        <w:rPr>
          <w:rFonts w:ascii="Times New Roman" w:hAnsi="Times New Roman" w:cs="Times New Roman"/>
          <w:b w:val="0"/>
          <w:i w:val="0"/>
          <w:sz w:val="24"/>
        </w:rPr>
        <w:t xml:space="preserve">WANG, Ruhan </w:t>
      </w:r>
      <w:r>
        <w:rPr>
          <w:rFonts w:ascii="Times New Roman" w:hAnsi="Times New Roman" w:cs="Times New Roman"/>
          <w:b w:val="0"/>
          <w:i/>
          <w:sz w:val="24"/>
        </w:rPr>
        <w:t xml:space="preserve">et al.</w:t>
      </w:r>
      <w:r>
        <w:rPr>
          <w:rFonts w:ascii="Times New Roman" w:hAnsi="Times New Roman" w:cs="Times New Roman"/>
          <w:b w:val="0"/>
          <w:i w:val="0"/>
          <w:sz w:val="24"/>
        </w:rPr>
        <w:t xml:space="preserve"> </w:t>
      </w:r>
      <w:r>
        <w:rPr>
          <w:rFonts w:ascii="Times New Roman" w:hAnsi="Times New Roman" w:cs="Times New Roman"/>
          <w:b/>
          <w:i w:val="0"/>
          <w:sz w:val="24"/>
        </w:rPr>
        <w:t xml:space="preserve">Harness Handbook</w:t>
      </w:r>
      <w:r>
        <w:rPr>
          <w:rFonts w:ascii="Times New Roman" w:hAnsi="Times New Roman" w:cs="Times New Roman"/>
          <w:b w:val="0"/>
          <w:i w:val="0"/>
          <w:sz w:val="24"/>
        </w:rPr>
        <w:t xml:space="preserve">: making evolving agent harnesses readable, navigable, and editable. arXiv:2607.13285,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https://arxiv.org/abs/2607.13285. Acesso em: 9 set. 2026.</w:t>
      </w:r>
    </w:p>
    <w:p>
      <w:pPr>
        <w:spacing w:line="240" w:lineRule="auto" w:before="0" w:after="240"/>
        <w:ind w:firstLine="0"/>
        <w:jc w:val="left"/>
      </w:pPr>
      <w:r>
        <w:rPr>
          <w:rFonts w:ascii="Times New Roman" w:hAnsi="Times New Roman" w:cs="Times New Roman"/>
          <w:b w:val="0"/>
          <w:i w:val="0"/>
          <w:sz w:val="24"/>
        </w:rPr>
        <w:t xml:space="preserve">YANG, John; JIMENEZ, Carlos E.; WETTIG, Alexander; LIERET, Kilian; YAO, Shunyu; NARASIMHAN, Karthik; PRESS, Ofir. </w:t>
      </w:r>
      <w:r>
        <w:rPr>
          <w:rFonts w:ascii="Times New Roman" w:hAnsi="Times New Roman" w:cs="Times New Roman"/>
          <w:b/>
          <w:i w:val="0"/>
          <w:sz w:val="24"/>
        </w:rPr>
        <w:t xml:space="preserve">SWE-agent</w:t>
      </w:r>
      <w:r>
        <w:rPr>
          <w:rFonts w:ascii="Times New Roman" w:hAnsi="Times New Roman" w:cs="Times New Roman"/>
          <w:b w:val="0"/>
          <w:i w:val="0"/>
          <w:sz w:val="24"/>
        </w:rPr>
        <w:t xml:space="preserve">: agent-computer interfaces enable automated software engineering. arXiv:2405.15793, 2024. Trabalho apresentado na Conference on Neural Information Processing Systems (NeurIPS), 2024. Disponível em: https://arxiv.org/abs/2405.15793. Acesso em: 28 ago. 2026.</w:t>
      </w:r>
    </w:p>
    <w:p>
      <w:pPr>
        <w:spacing w:line="240" w:lineRule="auto" w:before="0" w:after="240"/>
        <w:ind w:firstLine="0"/>
        <w:jc w:val="left"/>
      </w:pPr>
      <w:r>
        <w:rPr>
          <w:rFonts w:ascii="Times New Roman" w:hAnsi="Times New Roman" w:cs="Times New Roman"/>
          <w:b w:val="0"/>
          <w:i w:val="0"/>
          <w:sz w:val="24"/>
        </w:rPr>
        <w:t xml:space="preserve">YAO, Shunyu; ZHAO, Jeffrey; YU, Dian; DU, Nan; SHAFRAN, Izhak; NARASIMHAN, Karthik; CAO, Yuan. </w:t>
      </w:r>
      <w:r>
        <w:rPr>
          <w:rFonts w:ascii="Times New Roman" w:hAnsi="Times New Roman" w:cs="Times New Roman"/>
          <w:b/>
          <w:i w:val="0"/>
          <w:sz w:val="24"/>
        </w:rPr>
        <w:t xml:space="preserve">ReAct</w:t>
      </w:r>
      <w:r>
        <w:rPr>
          <w:rFonts w:ascii="Times New Roman" w:hAnsi="Times New Roman" w:cs="Times New Roman"/>
          <w:b w:val="0"/>
          <w:i w:val="0"/>
          <w:sz w:val="24"/>
        </w:rPr>
        <w:t xml:space="preserve">: synergizing reasoning and acting in language models. arXiv:2210.03629, 2022. Trabalho apresentado na International Conference on Learning Representations (ICLR), 2023. Disponível em: https://arxiv.org/abs/2210.03629. Acesso em: 28 ago. 2026.</w:t>
      </w:r>
    </w:p>
    <w:p>
      <w:pPr>
        <w:spacing w:line="240" w:lineRule="auto" w:before="0" w:after="240"/>
        <w:ind w:firstLine="0"/>
        <w:jc w:val="left"/>
      </w:pPr>
      <w:r>
        <w:rPr>
          <w:rFonts w:ascii="Times New Roman" w:hAnsi="Times New Roman" w:cs="Times New Roman"/>
          <w:b w:val="0"/>
          <w:i w:val="0"/>
          <w:sz w:val="24"/>
        </w:rPr>
        <w:t xml:space="preserve">YUUKIFST. </w:t>
      </w:r>
      <w:r>
        <w:rPr>
          <w:rFonts w:ascii="Times New Roman" w:hAnsi="Times New Roman" w:cs="Times New Roman"/>
          <w:b/>
          <w:i w:val="0"/>
          <w:sz w:val="24"/>
        </w:rPr>
        <w:t xml:space="preserve">harness-bench</w:t>
      </w:r>
      <w:r>
        <w:rPr>
          <w:rFonts w:ascii="Times New Roman" w:hAnsi="Times New Roman" w:cs="Times New Roman"/>
          <w:b w:val="0"/>
          <w:i w:val="0"/>
          <w:sz w:val="24"/>
        </w:rPr>
        <w:t xml:space="preserve">: runner, dados brutos e scripts de análise deste projeto. 2026. Repositório de código. Disponível em: https://github.com/YuukiFST/harness-bench. Acesso em: 28 ago. 2026.</w:t>
      </w:r>
    </w:p>
    <w:p>
      <w:pPr>
        <w:spacing w:line="240" w:lineRule="auto" w:before="0" w:after="240"/>
        <w:ind w:firstLine="0"/>
        <w:jc w:val="left"/>
      </w:pPr>
      <w:r>
        <w:rPr>
          <w:rFonts w:ascii="Times New Roman" w:hAnsi="Times New Roman" w:cs="Times New Roman"/>
          <w:b w:val="0"/>
          <w:i w:val="0"/>
          <w:sz w:val="24"/>
        </w:rPr>
        <w:t xml:space="preserve">ZHANG, Yunbei; WANG, Janet; GE, Yingqiang; XU, Weijie; HAMM, Jihun; REDDY, Chandan K. </w:t>
      </w:r>
      <w:r>
        <w:rPr>
          <w:rFonts w:ascii="Times New Roman" w:hAnsi="Times New Roman" w:cs="Times New Roman"/>
          <w:b/>
          <w:i w:val="0"/>
          <w:sz w:val="24"/>
        </w:rPr>
        <w:t xml:space="preserve">Stop comparing LLM agents without disclosing the harness</w:t>
      </w:r>
      <w:r>
        <w:rPr>
          <w:rFonts w:ascii="Times New Roman" w:hAnsi="Times New Roman" w:cs="Times New Roman"/>
          <w:b w:val="0"/>
          <w:i w:val="0"/>
          <w:sz w:val="24"/>
        </w:rPr>
        <w:t xml:space="preserve">. arXiv:2605.23950, 2026. </w:t>
      </w:r>
      <w:r>
        <w:rPr>
          <w:rFonts w:ascii="Times New Roman" w:hAnsi="Times New Roman" w:cs="Times New Roman"/>
          <w:b w:val="0"/>
          <w:i/>
          <w:sz w:val="24"/>
        </w:rPr>
        <w:t xml:space="preserve">Preprint</w:t>
      </w:r>
      <w:r>
        <w:rPr>
          <w:rFonts w:ascii="Times New Roman" w:hAnsi="Times New Roman" w:cs="Times New Roman"/>
          <w:b w:val="0"/>
          <w:i w:val="0"/>
          <w:sz w:val="24"/>
        </w:rPr>
        <w:t xml:space="preserve">, não revisado por pares. Disponível em: https://arxiv.org/abs/2605.23950. Acesso em: 28 ago. 2026.</w:t>
      </w:r>
    </w:p>
    <w:sectPr w:rsidR="00FC693F" w:rsidRPr="0006063C" w:rsidSect="00034616">
      <w:headerReference w:type="default" r:id="rId9"/>
      <w:pgSz w:w="11906" w:h="16838"/>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 CT_PPrBase is an xsd:sequence: w:spacing (21) precedes w:jc (26).
           This part is hand-built, so python-docx's ordered inserters never run
           and a wrong order reaches Word as "unreadable content". -->
      <w:pPr>
        <w:spacing w:after="0" w:line="240" w:lineRule="auto"/>
        <w:jc w:val="both"/>
      </w:pPr>
      <w:r>
        <w:rPr>
          <w:rFonts w:ascii="Times New Roman" w:hAnsi="Times New Roman" w:cs="Times New Roman"/>
          <w:sz w:val="20"/>
          <w:vertAlign w:val="superscript"/>
        </w:rPr>
        <w:footnoteRef/>
      </w:r>
      <w:r>
        <w:rPr>
          <w:rFonts w:ascii="Times New Roman" w:hAnsi="Times New Roman" w:cs="Times New Roman"/>
          <w:sz w:val="20"/>
        </w:rPr>
        <w:t xml:space="preserve"> Os exemplos de referência do template departamental (Instituto Federal de Mato Grosso, 2022) precedem as edições vigentes da ABNT NBR 6023 e da ABNT NBR 10520, e o template diverge de si mesmo ao alternar entre “Acesso em:” e “Acessado em:” e ao envolver endereços eletrônicos em colchetes angulares. Onde há contradição interna, seguiu-se a edição vigente: ABNT NBR 6023:2025 na lista de referências, sem colchetes angulares e com “Acesso em:” em todas as entradas, e ABNT NBR 10520:2023 nas citações do corpo do texto, com o sobrenome em caixa-alta apenas na lista de referências.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