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16cid w16 w16cex wp14">
  <w:body>
    <w:p w:rsidR="00154BDC" w:rsidRDefault="00893410">
      <w:pPr>
        <w:spacing w:after="0" w:line="240" w:lineRule="auto"/>
        <w:jc w:val="center"/>
      </w:pPr>
      <w:r>
        <w:rPr>
          <w:b/>
        </w:rPr>
        <w:t>INSTITUTO FEDERAL DE EDUCAÇÃO, CIÊNCIA E TECNOLOGIA</w:t>
      </w:r>
    </w:p>
    <w:p w:rsidR="00154BDC" w:rsidRDefault="00893410">
      <w:pPr>
        <w:spacing w:after="0" w:line="240" w:lineRule="auto"/>
        <w:jc w:val="center"/>
      </w:pPr>
      <w:r>
        <w:rPr>
          <w:b/>
        </w:rPr>
        <w:t>DE MATO GROSSO - CAMPUS OCTAYDE JORGE DA SILVA</w:t>
      </w:r>
    </w:p>
    <w:p w:rsidR="00154BDC" w:rsidRDefault="00893410">
      <w:pPr>
        <w:spacing w:after="0" w:line="240" w:lineRule="auto"/>
        <w:jc w:val="center"/>
      </w:pPr>
      <w:r>
        <w:rPr>
          <w:b/>
        </w:rPr>
        <w:t>DIRETORIA DE ENSINO</w:t>
      </w:r>
    </w:p>
    <w:p w:rsidR="00154BDC" w:rsidRDefault="00893410">
      <w:pPr>
        <w:spacing w:after="0" w:line="240" w:lineRule="auto"/>
        <w:jc w:val="center"/>
      </w:pPr>
      <w:r>
        <w:rPr>
          <w:b/>
        </w:rPr>
        <w:t>DEPARTAMENTO DE ÁREA DE INFORMÁTICA</w:t>
      </w:r>
    </w:p>
    <w:p w:rsidR="00154BDC" w:rsidRDefault="00154BDC"/>
    <w:p w:rsidR="00154BDC" w:rsidRDefault="00154BDC"/>
    <w:p w:rsidR="00154BDC" w:rsidRDefault="00154BDC"/>
    <w:p w:rsidR="00154BDC" w:rsidRDefault="00154BDC"/>
    <w:p w:rsidR="00154BDC" w:rsidRDefault="00893410">
      <w:pPr>
        <w:spacing w:after="0"/>
        <w:jc w:val="center"/>
      </w:pPr>
      <w:r>
        <w:rPr>
          <w:b/>
          <w:sz w:val="28"/>
        </w:rPr>
        <w:t>FAUSTO YUUKI T.A FREIRE</w:t>
      </w:r>
    </w:p>
    <w:p>
      <w:pPr>
        <w:spacing w:after="0" w:line="360" w:lineRule="auto"/>
        <w:jc w:val="center"/>
      </w:pPr>
      <w:r>
        <w:rPr>
          <w:b w:val="0"/>
          <w:i w:val="0"/>
          <w:sz w:val="32"/>
        </w:rPr>
        <w:t xml:space="preserve">O HARNESS COMO DECISÃO DO DESENVOLVEDOR: TOKENS E TAXA DE SUCESSO DO OPENCODE E DO PI NA CONSTRUÇÃO DE UM MESMO SAAS SOB UM MESMO MODELO</w:t>
      </w:r>
    </w:p>
    <w:p w:rsidR="00154BDC" w:rsidRDefault="00154BDC"/>
    <w:p w:rsidR="00154BDC" w:rsidRDefault="00154BDC"/>
    <w:p w:rsidR="00154BDC" w:rsidRDefault="00154BDC"/>
    <w:p w:rsidR="00154BDC" w:rsidRDefault="00154BDC"/>
    <w:p w:rsidR="00154BDC" w:rsidRDefault="00154BDC"/>
    <w:p w:rsidR="00154BDC" w:rsidRDefault="00154BDC"/>
    <w:p w:rsidR="00154BDC" w:rsidRDefault="00154BDC"/>
    <w:p w:rsidR="00154BDC" w:rsidRDefault="00154BDC"/>
    <w:p w:rsidR="00154BDC" w:rsidRDefault="00893410">
      <w:pPr>
        <w:spacing w:after="0" w:line="240" w:lineRule="auto"/>
        <w:jc w:val="center"/>
      </w:pPr>
      <w:r>
        <w:t>Cuiabá</w:t>
      </w:r>
    </w:p>
    <w:p w:rsidR="00154BDC" w:rsidRDefault="00893410">
      <w:pPr>
        <w:spacing w:after="0" w:line="240" w:lineRule="auto"/>
        <w:jc w:val="center"/>
      </w:pPr>
      <w:r>
        <w:t>2026</w:t>
      </w:r>
    </w:p>
    <w:p w:rsidR="00154BDC" w:rsidRDefault="00893410">
      <w:r>
        <w:br w:type="page"/>
      </w:r>
    </w:p>
    <w:p w:rsidR="00154BDC" w:rsidRDefault="00893410">
      <w:pPr>
        <w:spacing w:after="0"/>
        <w:jc w:val="center"/>
      </w:pPr>
      <w:r>
        <w:rPr>
          <w:b/>
        </w:rPr>
        <w:lastRenderedPageBreak/>
        <w:t>FAUSTO YUUKI T.A FREIRE</w:t>
      </w:r>
    </w:p>
    <w:p>
      <w:pPr>
        <w:spacing w:after="0" w:line="360" w:lineRule="auto"/>
        <w:jc w:val="center"/>
      </w:pPr>
      <w:r>
        <w:rPr>
          <w:b w:val="0"/>
          <w:i w:val="0"/>
          <w:sz w:val="28"/>
        </w:rPr>
        <w:t xml:space="preserve">O HARNESS COMO DECISÃO DO DESENVOLVEDOR: TOKENS E TAXA DE SUCESSO DO OPENCODE E DO PI NA CONSTRUÇÃO DE UM MESMO SAAS SOB UM MESMO MODELO</w:t>
      </w:r>
    </w:p>
    <w:p>
      <w:pPr>
        <w:spacing w:after="0" w:line="240" w:lineRule="auto"/>
        <w:ind w:left="4535"/>
        <w:jc w:val="both"/>
      </w:pPr>
      <w:r>
        <w:rPr>
          <w:b w:val="0"/>
          <w:i w:val="0"/>
        </w:rPr>
        <w:t xml:space="preserve">Projeto de pesquisa apresentado ao Departamento de Área de Informática do Instituto Federal de Educação, Ciência e Tecnologia de Mato Grosso, Campus Octayde Jorge da Silva, na disciplina de Metodologia Científica do curso de Sistemas para Internet.</w:t>
      </w:r>
    </w:p>
    <w:p w:rsidR="00154BDC" w:rsidRDefault="00893410">
      <w:pPr>
        <w:spacing w:before="240" w:after="0" w:line="240" w:lineRule="auto"/>
        <w:ind w:left="4535"/>
        <w:jc w:val="both"/>
      </w:pPr>
      <w:r>
        <w:t>Orientadora: Profa. Inara Silva</w:t>
      </w:r>
    </w:p>
    <w:p w:rsidR="00154BDC" w:rsidRDefault="00154BDC"/>
    <w:p w:rsidR="00154BDC" w:rsidRDefault="00154BDC"/>
    <w:p w:rsidR="00154BDC" w:rsidRDefault="00154BDC"/>
    <w:p w:rsidR="00154BDC" w:rsidRDefault="00154BDC"/>
    <w:p w:rsidR="00154BDC" w:rsidRDefault="00154BDC"/>
    <w:p w:rsidR="00154BDC" w:rsidRDefault="00154BDC"/>
    <w:p w:rsidR="00154BDC" w:rsidRDefault="00893410">
      <w:pPr>
        <w:spacing w:after="0" w:line="240" w:lineRule="auto"/>
        <w:jc w:val="center"/>
      </w:pPr>
      <w:r>
        <w:t>Cuiabá</w:t>
      </w:r>
    </w:p>
    <w:p w:rsidR="00154BDC" w:rsidRDefault="00893410">
      <w:pPr>
        <w:spacing w:after="0" w:line="240" w:lineRule="auto"/>
        <w:jc w:val="center"/>
      </w:pPr>
      <w:r>
        <w:t>2026</w:t>
      </w:r>
    </w:p>
    <w:p w:rsidR="00154BDC" w:rsidRDefault="00893410">
      <w:r>
        <w:br w:type="page"/>
      </w:r>
    </w:p>
    <w:p w:rsidR="00154BDC" w:rsidRDefault="00893410">
      <w:pPr>
        <w:spacing w:after="480"/>
        <w:jc w:val="center"/>
      </w:pPr>
      <w:r>
        <w:rPr>
          <w:b/>
          <w:sz w:val="28"/>
        </w:rPr>
        <w:lastRenderedPageBreak/>
        <w:t>SUMÁRIO</w:t>
      </w:r>
    </w:p>
    <w:p w:rsidR="00154BDC" w:rsidRDefault="00893410">
      <w:pPr>
        <w:tabs>
          <w:tab w:val="right" w:pos="9071"/>
        </w:tabs>
        <w:spacing w:after="0" w:line="360" w:lineRule="auto"/>
      </w:pPr>
      <w:r>
        <w:t>1 INTRODUÇÃO</w:t>
      </w:r>
      <w:r>
        <w:tab/>
        <w:t>1</w:t>
      </w:r>
    </w:p>
    <w:p w:rsidR="00154BDC" w:rsidRDefault="00893410">
      <w:pPr>
        <w:tabs>
          <w:tab w:val="right" w:pos="9071"/>
        </w:tabs>
        <w:spacing w:after="0" w:line="360" w:lineRule="auto"/>
      </w:pPr>
      <w:r>
        <w:t>2 REFERENCIAL TEÓRICO</w:t>
      </w:r>
      <w:r>
        <w:tab/>
        <w:t>3</w:t>
      </w:r>
    </w:p>
    <w:p w:rsidR="00154BDC" w:rsidRDefault="00893410">
      <w:pPr>
        <w:tabs>
          <w:tab w:val="right" w:pos="9071"/>
        </w:tabs>
        <w:spacing w:after="0" w:line="360" w:lineRule="auto"/>
      </w:pPr>
      <w:r>
        <w:t xml:space="preserve">3 MATERIAL E </w:t>
      </w:r>
      <w:r>
        <w:t>MÉTODO</w:t>
      </w:r>
      <w:r>
        <w:tab/>
        <w:t>5</w:t>
      </w:r>
    </w:p>
    <w:p w:rsidR="00154BDC" w:rsidRDefault="00893410">
      <w:pPr>
        <w:tabs>
          <w:tab w:val="right" w:pos="9071"/>
        </w:tabs>
        <w:spacing w:after="0" w:line="360" w:lineRule="auto"/>
      </w:pPr>
      <w:r>
        <w:t>4 ORÇAMENTO</w:t>
      </w:r>
      <w:r>
        <w:tab/>
        <w:t>7</w:t>
      </w:r>
    </w:p>
    <w:p w:rsidR="00154BDC" w:rsidRDefault="00893410">
      <w:pPr>
        <w:tabs>
          <w:tab w:val="right" w:pos="9071"/>
        </w:tabs>
        <w:spacing w:after="0" w:line="360" w:lineRule="auto"/>
      </w:pPr>
      <w:r>
        <w:t>5 CRONOGRAMA</w:t>
      </w:r>
      <w:r>
        <w:tab/>
        <w:t>8</w:t>
      </w:r>
    </w:p>
    <w:p w:rsidR="00154BDC" w:rsidRDefault="00893410">
      <w:pPr>
        <w:tabs>
          <w:tab w:val="right" w:pos="9071"/>
        </w:tabs>
        <w:spacing w:after="0" w:line="360" w:lineRule="auto"/>
      </w:pPr>
      <w:r>
        <w:t>6 REFERÊNCIAS</w:t>
      </w:r>
      <w:r>
        <w:tab/>
        <w:t>8</w:t>
      </w:r>
    </w:p>
    <w:p w:rsidR="00154BDC" w:rsidRDefault="00154BDC">
      <w:pPr>
        <w:sectPr w:rsidR="00154BDC"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:rsidR="00154BDC" w:rsidRDefault="00893410">
      <w:pPr>
        <w:keepNext/>
        <w:spacing w:before="240" w:after="120" w:line="360" w:lineRule="auto"/>
      </w:pPr>
      <w:r>
        <w:rPr>
          <w:b/>
          <w:sz w:val="28"/>
        </w:rPr>
        <w:lastRenderedPageBreak/>
        <w:t>1 INTRODUÇÃO</w:t>
      </w:r>
    </w:p>
    <w:p w:rsidR="00154BDC" w:rsidRDefault="00893410">
      <w:pPr>
        <w:spacing w:before="120" w:after="0" w:line="360" w:lineRule="auto"/>
      </w:pPr>
      <w:r>
        <w:rPr>
          <w:b/>
        </w:rPr>
        <w:t>Justificativa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Agentes de codificação como o Codex e o Claude Code são ferramenta de trabalho do desenvolvedor. Cada um é um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, a camada de software ao redor do modelo, e ela muda o custo com o modelo fixo. No FrontierHarness (Runta, 2026), doze configurações de nove </w:t>
      </w:r>
      <w:r>
        <w:rPr>
          <w:b w:val="0"/>
          <w:i/>
        </w:rPr>
        <w:t xml:space="preserve">harnesses</w:t>
      </w:r>
      <w:r>
        <w:rPr>
          <w:b w:val="0"/>
          <w:i w:val="0"/>
        </w:rPr>
        <w:t xml:space="preserve"> sobre o mesmo modelo ficam entre 50,0% e 66,7% de aprovação, e o custo por tarefa concluída vai de US$ 1,05 a US$ 18,34, uma razão de 17,5x calculada pelo autor deste projeto. Dois dos </w:t>
      </w:r>
      <w:r>
        <w:rPr>
          <w:b w:val="0"/>
          <w:i/>
        </w:rPr>
        <w:t xml:space="preserve">harnesses</w:t>
      </w:r>
      <w:r>
        <w:rPr>
          <w:b w:val="0"/>
          <w:i w:val="0"/>
        </w:rPr>
        <w:t xml:space="preserve"> medidos ali são de código aberto e rodam sem interface: o pi conclui 60,0% das tarefas a US$ 2,43 por tarefa concluída e o OpenCode 50,0% a US$ 3,24.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Quem paga essa conta é o desenvolvedor, na assinatura pessoal, e a empresa que adota a ferramenta em escala; conhecer 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virou parte do ofício. As comparações publicadas usam suítes de tarefas isoladas, e não dizem quanto custa entregar um produto inteiro com uma ferramenta em vez de outra. Este projeto medirá esse custo construindo o mesmo produto duas vezes, do zero: o Finn, um SaaS de financeiro por voz, será construído com o OpenCode e com o pi, sobre o mesmo modelo e a partir da mesma especificação, e os tokens que cada braço gastar até entregar o produto serão contados fora do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. O resultado será um critério de escolha para o desenvolvedor e para a empresa.</w:t>
      </w:r>
    </w:p>
    <w:p w:rsidR="00154BDC" w:rsidRDefault="00893410">
      <w:pPr>
        <w:spacing w:before="120" w:after="0" w:line="360" w:lineRule="auto"/>
      </w:pPr>
      <w:r>
        <w:rPr>
          <w:b/>
        </w:rPr>
        <w:t>Tema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A escolha do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como decisão de engenharia do desenvolvedor e da empresa: seu efeito sobre os tokens consumidos e sobre a taxa de sucesso de agentes de codificação na construção de um mesmo produto de software, mantido fixo o modelo de linguagem.</w:t>
      </w:r>
    </w:p>
    <w:p w:rsidR="00154BDC" w:rsidRDefault="00893410">
      <w:pPr>
        <w:spacing w:before="120" w:after="0" w:line="360" w:lineRule="auto"/>
      </w:pPr>
      <w:r>
        <w:rPr>
          <w:b/>
        </w:rPr>
        <w:t>Problema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Para o desenvolvedor ou a empresa que já escolheu o modelo, quantos tokens a mais ou a menos custa construir o mesmo software com um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em vez de outro? E quanto dessa diferença vem da carga fixa que cada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envia em toda requisição, de modo que seja possível agir sobre ela?</w:t>
      </w:r>
    </w:p>
    <w:p w:rsidR="00154BDC" w:rsidRDefault="00893410">
      <w:pPr>
        <w:spacing w:before="120" w:after="0" w:line="360" w:lineRule="auto"/>
      </w:pPr>
      <w:r>
        <w:rPr>
          <w:b/>
        </w:rPr>
        <w:t>Objetivo geral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Medir, com o modelo de linguagem mantido fixo, a diferença de tokens consumidos e de taxa de sucesso entre o OpenCode e o pi na construção do mesmo SaaS a partir da mesma especificação, separando a parte dessa diferença que vem da carga fixa por requisição, e entregar o resultado como critério de escolha reproduzível pelo desenvolvedor.</w:t>
      </w:r>
    </w:p>
    <w:p w:rsidR="00154BDC" w:rsidRDefault="00893410">
      <w:pPr>
        <w:spacing w:before="120" w:after="0" w:line="360" w:lineRule="auto"/>
      </w:pPr>
      <w:r>
        <w:rPr>
          <w:b/>
        </w:rPr>
        <w:t>Objetivos específicos</w:t>
      </w:r>
    </w:p>
    <w:p>
      <w:pPr>
        <w:spacing w:after="0" w:line="360" w:lineRule="auto"/>
        <w:ind w:left="709"/>
        <w:jc w:val="both"/>
      </w:pPr>
      <w:r>
        <w:rPr>
          <w:b w:val="0"/>
          <w:i w:val="0"/>
        </w:rPr>
        <w:t xml:space="preserve">1) construir um instrumento de medição externo aos </w:t>
      </w:r>
      <w:r>
        <w:rPr>
          <w:b w:val="0"/>
          <w:i/>
        </w:rPr>
        <w:t xml:space="preserve">harnesses</w:t>
      </w:r>
      <w:r>
        <w:rPr>
          <w:b w:val="0"/>
          <w:i w:val="0"/>
        </w:rPr>
        <w:t xml:space="preserve">, capaz de contabilizar de forma idêntica, para os dois, o número de requisições ao modelo, os tokens de entrada e de saída e a latência por requisição;</w:t>
      </w:r>
    </w:p>
    <w:p>
      <w:pPr>
        <w:spacing w:after="0" w:line="360" w:lineRule="auto"/>
        <w:ind w:left="709"/>
        <w:jc w:val="both"/>
      </w:pPr>
      <w:r>
        <w:rPr>
          <w:b w:val="0"/>
          <w:i w:val="0"/>
        </w:rPr>
        <w:t xml:space="preserve">2) escrever a especificação do Finn em nove unidades, a partir das decisões já registradas no repositório do produto, com testes de aceitação escritos pelo autor antes da execução, independentes dos testes que o próprio agente produzir;</w:t>
      </w:r>
    </w:p>
    <w:p>
      <w:pPr>
        <w:spacing w:after="0" w:line="360" w:lineRule="auto"/>
        <w:ind w:left="709"/>
        <w:jc w:val="both"/>
      </w:pPr>
      <w:r>
        <w:rPr>
          <w:b w:val="0"/>
          <w:i w:val="0"/>
        </w:rPr>
        <w:t xml:space="preserve">3) preparar um espaço de trabalho inicial idêntico para os dois braços, contendo apenas a especificação e a pilha fixada, congelado por hash;</w:t>
      </w:r>
    </w:p>
    <w:p>
      <w:pPr>
        <w:spacing w:after="0" w:line="360" w:lineRule="auto"/>
        <w:ind w:left="709"/>
        <w:jc w:val="both"/>
      </w:pPr>
      <w:r>
        <w:rPr>
          <w:b w:val="0"/>
          <w:i w:val="0"/>
        </w:rPr>
        <w:t xml:space="preserve">4) executar a construção completa do Finn nos dois </w:t>
      </w:r>
      <w:r>
        <w:rPr>
          <w:b w:val="0"/>
          <w:i/>
        </w:rPr>
        <w:t xml:space="preserve">harnesses</w:t>
      </w:r>
      <w:r>
        <w:rPr>
          <w:b w:val="0"/>
          <w:i w:val="0"/>
        </w:rPr>
        <w:t xml:space="preserve">, unidade a unidade, com o mesmo modelo e os mesmos </w:t>
      </w:r>
      <w:r>
        <w:rPr>
          <w:b w:val="0"/>
          <w:i/>
        </w:rPr>
        <w:t xml:space="preserve">prompts</w:t>
      </w:r>
      <w:r>
        <w:rPr>
          <w:b w:val="0"/>
          <w:i w:val="0"/>
        </w:rPr>
        <w:t xml:space="preserve">, repetindo cada condição e reportando dispersão;</w:t>
      </w:r>
    </w:p>
    <w:p>
      <w:pPr>
        <w:spacing w:after="0" w:line="360" w:lineRule="auto"/>
        <w:ind w:left="709"/>
        <w:jc w:val="both"/>
      </w:pPr>
      <w:r>
        <w:rPr>
          <w:b w:val="0"/>
          <w:i w:val="0"/>
        </w:rPr>
        <w:t xml:space="preserve">5) repetir o experimento em um segundo modelo, verificando se a ordenação entre os dois </w:t>
      </w:r>
      <w:r>
        <w:rPr>
          <w:b w:val="0"/>
          <w:i/>
        </w:rPr>
        <w:t xml:space="preserve">harnesses</w:t>
      </w:r>
      <w:r>
        <w:rPr>
          <w:b w:val="0"/>
          <w:i w:val="0"/>
        </w:rPr>
        <w:t xml:space="preserve"> se mantém ou se inverte;</w:t>
      </w:r>
    </w:p>
    <w:p>
      <w:pPr>
        <w:spacing w:after="0" w:line="360" w:lineRule="auto"/>
        <w:ind w:left="709"/>
        <w:jc w:val="both"/>
      </w:pPr>
      <w:r>
        <w:rPr>
          <w:b w:val="0"/>
          <w:i w:val="0"/>
        </w:rPr>
        <w:t xml:space="preserve">6) quantificar a divergência entre os tokens relatados por cada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e os tokens medidos no instrumento externo, que são o que o desenvolvedor paga;</w:t>
      </w:r>
    </w:p>
    <w:p>
      <w:pPr>
        <w:spacing w:after="0" w:line="360" w:lineRule="auto"/>
        <w:ind w:left="709"/>
        <w:jc w:val="both"/>
      </w:pPr>
      <w:r>
        <w:rPr>
          <w:b w:val="0"/>
          <w:i w:val="0"/>
        </w:rPr>
        <w:t xml:space="preserve">7) publicar o executor, os </w:t>
      </w:r>
      <w:r>
        <w:rPr>
          <w:b w:val="0"/>
          <w:i/>
        </w:rPr>
        <w:t xml:space="preserve">prompts</w:t>
      </w:r>
      <w:r>
        <w:rPr>
          <w:b w:val="0"/>
          <w:i w:val="0"/>
        </w:rPr>
        <w:t xml:space="preserve">, os testes de aceitação, os dados brutos e os scripts de análise, com um procedimento que o desenvolvedor reexecute na própria máquina a custo monetário zero.</w:t>
      </w:r>
    </w:p>
    <w:p w:rsidR="00154BDC" w:rsidRDefault="00893410">
      <w:pPr>
        <w:spacing w:before="120" w:after="0" w:line="360" w:lineRule="auto"/>
      </w:pPr>
      <w:r>
        <w:rPr>
          <w:b/>
        </w:rPr>
        <w:t>Metodologia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A pesquisa é aplicada, quali-quantitativa, exploratória e experimental, e o método é dedutivo, com hipóteses declaradas antes da coleta. Os dados serão coletados por um instrumento próprio, um </w:t>
      </w:r>
      <w:r>
        <w:rPr>
          <w:b w:val="0"/>
          <w:i/>
        </w:rPr>
        <w:t xml:space="preserve">proxy</w:t>
      </w:r>
      <w:r>
        <w:rPr>
          <w:b w:val="0"/>
          <w:i w:val="0"/>
        </w:rPr>
        <w:t xml:space="preserve"> reverso interposto entre cada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e o modelo, que contará requisições, tokens e latência da mesma forma para os dois braços. Cada braço construirá o Finn do zero, a partir de uma especificação única dividida em nove unidades, ao menos três vezes; a comparação será feita sobre os tokens por construção, relatados ao lado da fração de testes de aceitação aprovados, e por teste pareado sobre os tokens de cada unidade. Espera-se obter a diferença de tokens e de taxa de sucesso atribuível ao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, em forma utilizável por quem escolhe a ferramenta. A seção 3 detalha material, método e tratamento estatístico.</w:t>
      </w:r>
    </w:p>
    <w:p w:rsidR="00154BDC" w:rsidRDefault="00893410">
      <w:pPr>
        <w:spacing w:before="120" w:after="0" w:line="360" w:lineRule="auto"/>
      </w:pPr>
      <w:r>
        <w:rPr>
          <w:b/>
        </w:rPr>
        <w:t>Hip</w:t>
      </w:r>
      <w:r>
        <w:rPr>
          <w:b/>
        </w:rPr>
        <w:t>ótese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H1: entre o OpenCode e o pi executando o mesmo modelo, a diferença de tokens gastos para construir o Finn a partir da mesma especificação é de ordem prática relevante para quem paga a conta, comparável à diferença obtida ao se trocar de modelo sob um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fixo. H1 será refutada se os intervalos de tokens por construção dos dois braços se sobrepuserem e o teste pareado por unidade não apontar diferença.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H2: a carga fixa que cada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envia em toda requisição (</w:t>
      </w:r>
      <w:r>
        <w:rPr>
          <w:b w:val="0"/>
          <w:i/>
        </w:rPr>
        <w:t xml:space="preserve">prompt</w:t>
      </w:r>
      <w:r>
        <w:rPr>
          <w:b w:val="0"/>
          <w:i w:val="0"/>
        </w:rPr>
        <w:t xml:space="preserve"> de sistema e esquemas de ferramenta, medidos na Camada 1) explica a maior parte dessa diferença, e o número de passos que cada um leva para concluir cada unidade explica a parte menor. H2 será refutada se o número de passos explicar a maior parte da diferença de tokens. Esse desfecho é possível e seria um achado a reportar, já que 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com mais ferramentas pode compensar a carga extra concluindo a unidade em menos passos.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Este trabalho está organizado em seis seções. Esta introdução apresenta a justificativa, o tema, o problema, os objetivos, a metodologia e as hipóteses. A seção 2 posiciona o trabalho na literatura e delimita as pendências que ele se propõe a resolver. A seção 3 descreve o material e o método: classificação da pesquisa, camadas de medição, braços, produto e especificação, limites, tratamento estatístico e limitações. A seção 4 apresenta o orçamento, a seção 5 o cronograma, e a seção 6 reúne as referências.</w:t>
      </w:r>
    </w:p>
    <w:p w:rsidR="00154BDC" w:rsidRDefault="00893410">
      <w:pPr>
        <w:keepNext/>
        <w:spacing w:before="240" w:after="120" w:line="360" w:lineRule="auto"/>
      </w:pPr>
      <w:r>
        <w:rPr>
          <w:b/>
          <w:sz w:val="28"/>
        </w:rPr>
        <w:t>2 REFERENCIAL TEÓRICO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Segundo Ning et al. (2026, §2, tradução nossa), um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“converte um modelo de linguagem sem estado em um agente funcional ao ancorar suas saídas em execução externa, estado persistente e realimentação verificável”. Wang et al. (2026) descrevem a mesma camada pelo que ela faz: monta os </w:t>
      </w:r>
      <w:r>
        <w:rPr>
          <w:b w:val="0"/>
          <w:i/>
        </w:rPr>
        <w:t xml:space="preserve">prompts</w:t>
      </w:r>
      <w:r>
        <w:rPr>
          <w:b w:val="0"/>
          <w:i w:val="0"/>
        </w:rPr>
        <w:t xml:space="preserve">, gerencia o estado, invoca as ferramentas e coordena o laço. É ela que muda quando o desenvolvedor troca de ferramenta e mantém o modelo, e os dois braços deste projeto ficam em pontos distantes dessa camada: o pi é um laço próximo do ReAct mínimo (Yao et al., 2022), com quatro ferramentas, e o OpenCode traz planejamento, compactação, subagentes e permissões. Lin et al. (2026) delimitam o que, exatamente, essa camada contém:</w:t>
      </w:r>
    </w:p>
    <w:p w:rsidR="00154BDC" w:rsidRDefault="00893410">
      <w:pPr>
        <w:spacing w:before="240" w:after="240" w:line="240" w:lineRule="auto"/>
        <w:ind w:left="2268"/>
        <w:jc w:val="both"/>
      </w:pPr>
      <w:r>
        <w:rPr>
          <w:sz w:val="20"/>
        </w:rPr>
        <w:t>Na prática, esse progresso depende não apenas do modelo de linguagem subjacente, mas igualmente dos componentes de engenharia que o cercam: o pro</w:t>
      </w:r>
      <w:r>
        <w:rPr>
          <w:sz w:val="20"/>
        </w:rPr>
        <w:t>mpt de sistema que molda o estilo de trabalho, as ferramentas que expõem o sistema de arquivos e o shell, e o middleware que controla contexto, execução e recuperação. Esse conjunto de componentes externos ao modelo e editáveis é chamado coletivamente de h</w:t>
      </w:r>
      <w:r>
        <w:rPr>
          <w:sz w:val="20"/>
        </w:rPr>
        <w:t xml:space="preserve">arness do agente. (Lin </w:t>
      </w:r>
      <w:r>
        <w:rPr>
          <w:i/>
          <w:sz w:val="20"/>
        </w:rPr>
        <w:t>et al.</w:t>
      </w:r>
      <w:r>
        <w:rPr>
          <w:sz w:val="20"/>
        </w:rPr>
        <w:t>, 2026, §1, tradução nossa).</w:t>
      </w:r>
    </w:p>
    <w:p w:rsidR="00154BDC" w:rsidRDefault="00893410">
      <w:pPr>
        <w:spacing w:after="0" w:line="360" w:lineRule="auto"/>
        <w:ind w:firstLine="709"/>
        <w:jc w:val="both"/>
      </w:pPr>
      <w:r>
        <w:t>É esse conjunto, e apenas ele, que varia entre os braços deste experimento, com o modelo mantido fixo.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A interface entre modelo e ambiente é objeto de projeto desde Yang et al. (2024). Na Tabela 1 de Lin et al. (2026), </w:t>
      </w:r>
      <w:r>
        <w:rPr>
          <w:b w:val="0"/>
          <w:i/>
        </w:rPr>
        <w:t xml:space="preserve">harnesses</w:t>
      </w:r>
      <w:r>
        <w:rPr>
          <w:b w:val="0"/>
          <w:i w:val="0"/>
        </w:rPr>
        <w:t xml:space="preserve"> escritos por humanos sobre um modelo congelado (GPT-5.4, Terminal-Bench 2, 89 tarefas) vão de 47,2% de aprovação no OpenCode a 71,9% no Codex, uma diferença de 24,7 pontos percentuais calculada pelo autor deste projeto. Zhang et al. (2026) enunciam a Binding Constraint Thesis: em tarefas de longo horizonte com modelos de fronteira comparáveis, a parcela do desempenho que vem do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é frequentemente comparável ou maior que a que vem do modelo, e pode dominá-la. Em Alier Forment et al. (2026), os dois </w:t>
      </w:r>
      <w:r>
        <w:rPr>
          <w:b w:val="0"/>
          <w:i/>
        </w:rPr>
        <w:t xml:space="preserve">scaffoldings</w:t>
      </w:r>
      <w:r>
        <w:rPr>
          <w:b w:val="0"/>
          <w:i w:val="0"/>
        </w:rPr>
        <w:t xml:space="preserve"> sem suporte a MCP saíram de 5,0x a 28x mais baratos que os cinco que o suportam, e o pi foi o mais barato da matriz. Somam-se três fontes não revisadas por pares. O HarnessRank (2026) ordena </w:t>
      </w:r>
      <w:r>
        <w:rPr>
          <w:b w:val="0"/>
          <w:i/>
        </w:rPr>
        <w:t xml:space="preserve">harnesses</w:t>
      </w:r>
      <w:r>
        <w:rPr>
          <w:b w:val="0"/>
          <w:i w:val="0"/>
        </w:rPr>
        <w:t xml:space="preserve"> por taxa de aprovação com modelo fixo e publica custo e tokens ao lado, sem que eles alterem a ordem. O FrontierHarness (Runta, 2026) compara, sobre o mesmo modelo, as ferramentas que o desenvolvedor encontra no mercado: o Codex conclui 66,7% das tarefas a US$ 3,47 por tarefa concluída e o Claude Code 63,3% a US$ 18,34, ou seja, 5,3x mais caro para uma taxa próxima (cálculo do autor deste projeto). O estudo da Databricks registra custo por tarefa variando mais de 2x em alguns casos, sem mudança de qualidade (Databricks, 2026 apud Earendil, 2026).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A primeira pendência é de atribuição. Toda comparação publicada contrasta </w:t>
      </w:r>
      <w:r>
        <w:rPr>
          <w:b w:val="0"/>
          <w:i/>
        </w:rPr>
        <w:t xml:space="preserve">harnesses</w:t>
      </w:r>
      <w:r>
        <w:rPr>
          <w:b w:val="0"/>
          <w:i w:val="0"/>
        </w:rPr>
        <w:t xml:space="preserve"> sobre suítes de tarefas isoladas e curtas, e a dispersão medida agrega </w:t>
      </w:r>
      <w:r>
        <w:rPr>
          <w:b w:val="0"/>
          <w:i/>
        </w:rPr>
        <w:t xml:space="preserve">prompt</w:t>
      </w:r>
      <w:r>
        <w:rPr>
          <w:b w:val="0"/>
          <w:i w:val="0"/>
        </w:rPr>
        <w:t xml:space="preserve">, ferramentas, gestão de contexto e desenho do laço sem separá-los. O desenvolvedor sabe qual ferramenta ganhou, mas não o que a fez ganhar, nem quanto essa diferença custa ao longo de um produto inteiro. Ning et al. (2026) nomeiam a lacuna em §5.2.1 e pedem, em §5.2.7, “métricas que isolem componentes do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” (Ning et al., 2026, tradução nossa). Lee et al. (2026) mostram que essas decisões são isoláveis: uma busca automática que edita só o código do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, com o modelo fixo, chegou a 76,4% de aprovação no TerminalBench-2 (89 tarefas, Claude Opus 4.6), contra 74,7% do Terminus-KIRA, 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escrito à mão de que a busca partiu (Lee et al., 2026, Tabela 7). Este projeto responderá a §5.2.7 pelo lado da medição: separará, em cada requisição, a carga fixa do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(</w:t>
      </w:r>
      <w:r>
        <w:rPr>
          <w:b w:val="0"/>
          <w:i/>
        </w:rPr>
        <w:t xml:space="preserve">prompt</w:t>
      </w:r>
      <w:r>
        <w:rPr>
          <w:b w:val="0"/>
          <w:i w:val="0"/>
        </w:rPr>
        <w:t xml:space="preserve"> de sistema e esquemas de ferramenta) do conteúdo da conversa, e medirá quanto dessa carga chega ao resultado ao longo de um produto completo.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A segunda pendência é de instrumentação, e atinge o desenvolvedor diretamente, porque ele decide pelo relatório da própria ferramenta. O que um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relata sobre o próprio custo diverge do que ele gasta, e cada um omite um conjunto diferente de chamadas reais ao modelo. Kapoor et al. (2024) mostram que a avaliação de agentes ignora o custo e por isso erra sobre a origem dos ganhos, e Kapoor et al. (2025) registram que as avaliações raramente relatam custo e que comparações entre </w:t>
      </w:r>
      <w:r>
        <w:rPr>
          <w:b w:val="0"/>
          <w:i/>
        </w:rPr>
        <w:t xml:space="preserve">harnesses</w:t>
      </w:r>
      <w:r>
        <w:rPr>
          <w:b w:val="0"/>
          <w:i w:val="0"/>
        </w:rPr>
        <w:t xml:space="preserve"> são raras. Por isso a medição ocorrerá em um </w:t>
      </w:r>
      <w:r>
        <w:rPr>
          <w:b w:val="0"/>
          <w:i/>
        </w:rPr>
        <w:t xml:space="preserve">proxy</w:t>
      </w:r>
      <w:r>
        <w:rPr>
          <w:b w:val="0"/>
          <w:i w:val="0"/>
        </w:rPr>
        <w:t xml:space="preserve"> externo, e o objetivo (6) quantificará essa divergência.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As métricas serão os tokens por construção, contados no </w:t>
      </w:r>
      <w:r>
        <w:rPr>
          <w:b w:val="0"/>
          <w:i/>
        </w:rPr>
        <w:t xml:space="preserve">proxy</w:t>
      </w:r>
      <w:r>
        <w:rPr>
          <w:b w:val="0"/>
          <w:i w:val="0"/>
        </w:rPr>
        <w:t xml:space="preserve"> e relatados ao lado da fração de testes de aceitação aprovados, e o Succ/Mtok (sucesso por milhão de tokens), de Lin et al. (2026), a razão que interessa a quem paga a conta. Sobre elas pesa uma ressalva permanente, a de que o efeito é específico do modelo e pode inverter de sinal. No Holistic Agent Leaderboard, os modelos da Anthropic vão melhor com o BrowserUse e os da OpenAI com o SeeAct sobre o mesmo </w:t>
      </w:r>
      <w:r>
        <w:rPr>
          <w:b w:val="0"/>
          <w:i/>
        </w:rPr>
        <w:t xml:space="preserve">benchmark</w:t>
      </w:r>
      <w:r>
        <w:rPr>
          <w:b w:val="0"/>
          <w:i w:val="0"/>
        </w:rPr>
        <w:t xml:space="preserve"> (Kapoor et al., 2025), e o FrontierHarness registra, para o Claude Code, aproveitamento de </w:t>
      </w:r>
      <w:r>
        <w:rPr>
          <w:b w:val="0"/>
          <w:i/>
        </w:rPr>
        <w:t xml:space="preserve">cache</w:t>
      </w:r>
      <w:r>
        <w:rPr>
          <w:b w:val="0"/>
          <w:i w:val="0"/>
        </w:rPr>
        <w:t xml:space="preserve"> de 25,0% ponderado por tokens contra 67,8% na célula mediana do mesmo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(Runta, 2026). Por isso o desenho carregará dois níveis de modelo, e as conclusões serão enunciadas por nível.</w:t>
      </w:r>
    </w:p>
    <w:p w:rsidR="00154BDC" w:rsidRDefault="00893410">
      <w:pPr>
        <w:keepNext/>
        <w:spacing w:before="240" w:after="120" w:line="360" w:lineRule="auto"/>
      </w:pPr>
      <w:r>
        <w:rPr>
          <w:b/>
          <w:sz w:val="28"/>
        </w:rPr>
        <w:lastRenderedPageBreak/>
        <w:t>3 MATERIAL E MÉTODO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Quanto à natureza, esta é uma pesquisa aplicada, e seu produto será um critério de escolha que um desenvolvedor ou uma empresa poderá aplicar. Quanto à abordagem, combina o quantitativo e o qualitativo. As medidas de tokens e de sucesso são quantitativas, e a atribuição da diferença à carga fixa ou ao número de passos é qualitativa. Quanto aos objetivos, é exploratória, porque a comparação de dois </w:t>
      </w:r>
      <w:r>
        <w:rPr>
          <w:b w:val="0"/>
          <w:i/>
        </w:rPr>
        <w:t xml:space="preserve">harnesses</w:t>
      </w:r>
      <w:r>
        <w:rPr>
          <w:b w:val="0"/>
          <w:i w:val="0"/>
        </w:rPr>
        <w:t xml:space="preserve"> construindo o mesmo produto completo do zero, a partir da mesma especificação, não tem precedente publicado. Quanto aos procedimentos, é experimental, com variável independente manipulada (o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) e variáveis controladas (modelo, especificação, espaço de trabalho inicial e limites). Quanto ao método, é dedutivo, porque parte de hipóteses declaradas antes da coleta e as submete a teste.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Duas partes deste projeto foram feitas com apoio de um agente de codificação. O levantamento das fontes usou um </w:t>
      </w:r>
      <w:r>
        <w:rPr>
          <w:b w:val="0"/>
          <w:i/>
        </w:rPr>
        <w:t xml:space="preserve">LLM Wiki</w:t>
      </w:r>
      <w:r>
        <w:rPr>
          <w:b w:val="0"/>
          <w:i w:val="0"/>
        </w:rPr>
        <w:t xml:space="preserve">, padrão descrito por Karpathy (2026) e mantido no repositório do projeto (YuukiFST, 2026c). Nesse arranjo, as fontes brutas ficam guardadas sem alteração, o agente escreve as páginas de síntese, cada operação entra em um registro cronológico e as dúvidas vão para uma fila de revisão. O autor curou as fontes e revisou cada síntese, e cada afirmação citada neste texto foi conferida na obra original, com o trecho copiado ao lado do veredito. A especificação do Finn usou o Helmsman, uma rotina escrita pelo autor (YuukiFST, 2026a) que separa as perguntas de um projeto em dois grupos: o que o sistema deve fazer, que só o autor responde, e como construir, que o agente decide sozinho e registra como </w:t>
      </w:r>
      <w:r>
        <w:rPr>
          <w:b w:val="0"/>
          <w:i/>
        </w:rPr>
        <w:t xml:space="preserve">ticket</w:t>
      </w:r>
      <w:r>
        <w:rPr>
          <w:b w:val="0"/>
          <w:i w:val="0"/>
        </w:rPr>
        <w:t xml:space="preserve">, com as alternativas e o critério. Quando uma decisão depende de um fato externo, como o preço de uma API, o agente dispara subagentes de pesquisa e só decide com o resultado em mãos. A Portaria CNPq nº 2.664/2026 pede que o uso de inteligência artificial generativa seja declarado com a ferramenta e a finalidade (Brasil, 2026). A ferramenta foi o Claude Code, e a finalidade foi entender o tema do projeto, buscar mais artigos sobre ele e registrar as decisões de produto e de pilha do Finn antes do experimento. O autor responde pelo texto final e por cada decisão de produto.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A medição ocorrerá em duas camadas, relatadas em separado. A Camada 1 medirá a forma da requisição contra um </w:t>
      </w:r>
      <w:r>
        <w:rPr>
          <w:b w:val="0"/>
          <w:i/>
        </w:rPr>
        <w:t xml:space="preserve">endpoint</w:t>
      </w:r>
      <w:r>
        <w:rPr>
          <w:b w:val="0"/>
          <w:i w:val="0"/>
        </w:rPr>
        <w:t xml:space="preserve"> simulado que não encaminha nada ao modelo: quantos esquemas de ferramenta, quantos bytes de </w:t>
      </w:r>
      <w:r>
        <w:rPr>
          <w:b w:val="0"/>
          <w:i/>
        </w:rPr>
        <w:t xml:space="preserve">prompt</w:t>
      </w:r>
      <w:r>
        <w:rPr>
          <w:b w:val="0"/>
          <w:i w:val="0"/>
        </w:rPr>
        <w:t xml:space="preserve"> de sistema e quantos tokens cada braço envia na primeira requisição e a cada passo seguinte. Essa camada não consome cota, é determinística e fornece a carga fixa por requisição de que H2 depende. A Camada 2 medirá a construção do produto contra o modelo real, consome cota e é estocástica. Mais bytes por requisição não significam, por si, resultado pior; a Camada 2 dirá quanto dessa carga chega ao resultado.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Os braços serão dois: o OpenCode (Opencode, 2026a) e o pi (Earendil, 2026). Os dois são de código aberto, rodam sem interface (opencode run e pi --mode json) e apontam para uma URL base compatível com a API da OpenAI sem adaptação, o que os faz atravessar o </w:t>
      </w:r>
      <w:r>
        <w:rPr>
          <w:b w:val="0"/>
          <w:i/>
        </w:rPr>
        <w:t xml:space="preserve">proxy</w:t>
      </w:r>
      <w:r>
        <w:rPr>
          <w:b w:val="0"/>
          <w:i w:val="0"/>
        </w:rPr>
        <w:t xml:space="preserve"> de medição. Ficam em pontos distantes do espaço de projeto: o pi envia quatro ferramentas e um </w:t>
      </w:r>
      <w:r>
        <w:rPr>
          <w:b w:val="0"/>
          <w:i/>
        </w:rPr>
        <w:t xml:space="preserve">prompt</w:t>
      </w:r>
      <w:r>
        <w:rPr>
          <w:b w:val="0"/>
          <w:i w:val="0"/>
        </w:rPr>
        <w:t xml:space="preserve"> de sistema curto, sem subagentes nem permissões; o OpenCode envia mais esquemas de ferramenta, um </w:t>
      </w:r>
      <w:r>
        <w:rPr>
          <w:b w:val="0"/>
          <w:i/>
        </w:rPr>
        <w:t xml:space="preserve">prompt</w:t>
      </w:r>
      <w:r>
        <w:rPr>
          <w:b w:val="0"/>
          <w:i w:val="0"/>
        </w:rPr>
        <w:t xml:space="preserve"> de sistema maior, e traz subagentes, permissões e compactação de contexto. As versões serão fixadas na adoção e registradas no repositório (YuukiFST, 2026c). Este projeto não escreve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algum; escreve o instrumento, os </w:t>
      </w:r>
      <w:r>
        <w:rPr>
          <w:b w:val="0"/>
          <w:i/>
        </w:rPr>
        <w:t xml:space="preserve">prompts</w:t>
      </w:r>
      <w:r>
        <w:rPr>
          <w:b w:val="0"/>
          <w:i w:val="0"/>
        </w:rPr>
        <w:t xml:space="preserve"> e os testes de aceitação.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O produto será o Finn, um SaaS multiempresa em que a empresa cliente fala com o próprio financeiro por voz e recebe lançamento, relatório e aviso no celular (YuukiFST, 2026b). As decisões de produto e de pilha foram registradas antes deste experimento em 21 </w:t>
      </w:r>
      <w:r>
        <w:rPr>
          <w:b w:val="0"/>
          <w:i/>
        </w:rPr>
        <w:t xml:space="preserve">tickets</w:t>
      </w:r>
      <w:r>
        <w:rPr>
          <w:b w:val="0"/>
          <w:i w:val="0"/>
        </w:rPr>
        <w:t xml:space="preserve"> fechados no repositório. A partir deles o autor escreverá, antes de qualquer execução, uma especificação única, congelada por hash SHA-256: um documento com o produto, a pilha fixada pelo dono (TypeScript, TanStack Start, tRPC, Drizzle ORM, PostgreSQL, Vitest) e as restrições gerais, e nove unidades, uma por </w:t>
      </w:r>
      <w:r>
        <w:rPr>
          <w:b w:val="0"/>
          <w:i/>
        </w:rPr>
        <w:t xml:space="preserve">ticket</w:t>
      </w:r>
      <w:r>
        <w:rPr>
          <w:b w:val="0"/>
          <w:i w:val="0"/>
        </w:rPr>
        <w:t xml:space="preserve"> técnico, em ordem de dependência: separação por empresa, governança, </w:t>
      </w:r>
      <w:r>
        <w:rPr>
          <w:b w:val="0"/>
          <w:i/>
        </w:rPr>
        <w:t xml:space="preserve">flags</w:t>
      </w:r>
      <w:r>
        <w:rPr>
          <w:b w:val="0"/>
          <w:i w:val="0"/>
        </w:rPr>
        <w:t xml:space="preserve"> por empresa, </w:t>
      </w:r>
      <w:r>
        <w:rPr>
          <w:b w:val="0"/>
          <w:i/>
        </w:rPr>
        <w:t xml:space="preserve">pipeline</w:t>
      </w:r>
      <w:r>
        <w:rPr>
          <w:b w:val="0"/>
          <w:i w:val="0"/>
        </w:rPr>
        <w:t xml:space="preserve"> de voz, confirmação da transcrição, registro de auditoria, relatório, agendador e cobrança. Cada braço recebe os mesmos bytes e constrói o produto do zero em um único espaço de trabalho: o executor invoca 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uma vez por unidade, em ordem, com um </w:t>
      </w:r>
      <w:r>
        <w:rPr>
          <w:b w:val="0"/>
          <w:i/>
        </w:rPr>
        <w:t xml:space="preserve">prompt</w:t>
      </w:r>
      <w:r>
        <w:rPr>
          <w:b w:val="0"/>
          <w:i w:val="0"/>
        </w:rPr>
        <w:t xml:space="preserve"> idêntico para os dois braços, e o que o agente construiu em uma unidade é o ponto de partida da seguinte. O autor não escreve código algum no espaço de trabalho depois do início. Os dois braços recebem a mesma entrada, e por isso a diferença de tokens fica atribuível ao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. A pontuação será a fração dos testes de aceitação aprovados; esses testes são escritos pelo autor antes da execução, ficam fora do espaço de trabalho, rodam sobre uma cópia dele ao fim de cada unidade e nunca são os testes que o agente escreve, já que um modelo que alucina uma API também escreve testes que simulam a alucinação. Uma unidade conta como concluída quando todos os seus testes passam, e a construção, quando todos os testes de todas as unidades passam ao fim.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Serão dois níveis de modelo, um primário e um de robustez, ambos gratuitos e no mesmo </w:t>
      </w:r>
      <w:r>
        <w:rPr>
          <w:b w:val="0"/>
          <w:i/>
        </w:rPr>
        <w:t xml:space="preserve">gateway</w:t>
      </w:r>
      <w:r>
        <w:rPr>
          <w:b w:val="0"/>
          <w:i w:val="0"/>
        </w:rPr>
        <w:t xml:space="preserve"> (Opencode, 2026b), relatados em separado. O segundo existe porque o efeito do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é específico do modelo. Se a ordenação entre os braços se inverter entre os níveis, a inversão será o resultado a reportar.</w:t>
      </w:r>
    </w:p>
    <w:p w:rsidR="00154BDC" w:rsidRDefault="00893410">
      <w:pPr>
        <w:spacing w:after="0" w:line="360" w:lineRule="auto"/>
        <w:ind w:firstLine="709"/>
        <w:jc w:val="both"/>
      </w:pPr>
      <w:r>
        <w:t xml:space="preserve">O instrumento </w:t>
      </w:r>
      <w:r>
        <w:t>de medição será um proxy reverso interposto entre cada braço e o gateway, que forçará a emissão do relatório de uso em cada requisição. Os tokens serão contados no proxy, sobre os bytes efetivamente transmitidos, com um único tokenizador divulgado para tod</w:t>
      </w:r>
      <w:r>
        <w:t xml:space="preserve">os os braços e níveis. A contagem virá do proxy porque o relatório do </w:t>
      </w:r>
      <w:r>
        <w:rPr>
          <w:i/>
        </w:rPr>
        <w:t>harness</w:t>
      </w:r>
      <w:r>
        <w:t xml:space="preserve"> e o do gateway incluem conteúdo injetado que nenhum braço enviou. Esse deslocamento aditivo por requisição não se cancela em uma razão e cobraria de cada braço um excedente propo</w:t>
      </w:r>
      <w:r>
        <w:t>rcional ao número de passos, que é um dos comportamentos sob teste. As contagens do gateway permanecerão registradas para verificação cruzada e para o cálculo de custo, e a divergência entre elas e as do proxy será reportada por braço.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Um único limite será imposto, idêntico para os dois braços. É um relógio de parede por unidade, cujo valor será três vezes a maior mediana que os dois braços gastarem nas unidades-piloto. O número de passos não será limitado, porque um teto de passos é ele próprio uma decisão de projeto de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e apagaria a diferença sob teste. O comprimento máximo de saída será forçado idêntico pelo </w:t>
      </w:r>
      <w:r>
        <w:rPr>
          <w:b w:val="0"/>
          <w:i/>
        </w:rPr>
        <w:t xml:space="preserve">proxy</w:t>
      </w:r>
      <w:r>
        <w:rPr>
          <w:b w:val="0"/>
          <w:i w:val="0"/>
        </w:rPr>
        <w:t xml:space="preserve">. Os parâmetros de amostragem serão registrados e relatados, mas não normalizados, já que o </w:t>
      </w:r>
      <w:r>
        <w:rPr>
          <w:b w:val="0"/>
          <w:i/>
        </w:rPr>
        <w:t xml:space="preserve">gateway</w:t>
      </w:r>
      <w:r>
        <w:rPr>
          <w:b w:val="0"/>
          <w:i w:val="0"/>
        </w:rPr>
        <w:t xml:space="preserve"> os aceita sem os honrar, e Miller (2024) desaconselha mexer na temperatura para reduzir variância. O isolamento de ambiente será verificado por um portão que falha fechado.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Cada célula do experimento, o par (braço, nível), receberá n ≥ 3 construções completas, contadas após os descartes, na função redutora de variância que Miller (2024) atribui à reamostragem. Os resultados sairão como mediana com dispersão, porque requisições byte-idênticas podem variar em tokens de saída em um nível gratuito, o que as unidades-piloto vão medir. Quando a cota não comportar a matriz, a cobertura será reduzida antes das repetições, já que a variância é a principal ameaça ao desenho.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A medida principal será o total de tokens por construção, sempre relatado ao lado da fração final de testes aprovados, para que um braço que falhe barato não pareça o mais barato. A comparação inferencial será pareada por unidade e usará o teste de Wilcoxon dos postos sinalizados, bilateral, com α = 0,05, sobre duas medidas: os tokens de cada unidade e o Succ/Mtok de cada unidade. O teste é não paramétrico porque nove pares não sustentam suposição distribucional, e pareado porque a dificuldade da unidade é o maior fator de perturbação do desenho, que é o que Miller (2024) recomenda ao preferir a diferença pareada por questão à média agregada. As unidades não são independentes, já que a seguinte parte do que o mesmo braço construiu nas anteriores, e um erro cobra de novo mais adiante. Essa dependência é parte do custo do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e será reportada por unidade. Com n = 3 e 9 unidades, a diferença mínima detectável é de cerca de 0,76σ. Para H2, os tokens de cada unidade serão decompostos em carga fixa (esquemas e </w:t>
      </w:r>
      <w:r>
        <w:rPr>
          <w:b w:val="0"/>
          <w:i/>
        </w:rPr>
        <w:t xml:space="preserve">prompt</w:t>
      </w:r>
      <w:r>
        <w:rPr>
          <w:b w:val="0"/>
          <w:i w:val="0"/>
        </w:rPr>
        <w:t xml:space="preserve"> de sistema, medidos na Camada 1, multiplicados pelo número de passos) e conteúdo da conversa, e a parcela de cada uma na diferença entre braços será reportada por unidade e por construção. As predições serão pré-registradas por nível de modelo, e um resultado nulo para H2 será um achado reportável.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Cada unidade de cada construção receberá exatamente uma classe. Aquela cujo agente não a concluiu será um resultado, entrará na estatística com a fração de testes que aprovou, e a construção segue para a unidade seguinte a partir do que ficou; nesse grupo, o estouro do relógio de parede contará como resultado, já que repetir converteria uma indisponibilidade do serviço em diferença aparente entre </w:t>
      </w:r>
      <w:r>
        <w:rPr>
          <w:b w:val="0"/>
          <w:i/>
        </w:rPr>
        <w:t xml:space="preserve">harnesses</w:t>
      </w:r>
      <w:r>
        <w:rPr>
          <w:b w:val="0"/>
          <w:i w:val="0"/>
        </w:rPr>
        <w:t xml:space="preserve">. Aquela cuja medição for inconfiável descartará a construção inteira, registrada como tal, sem reparo nem repetição. A classificação virá do registro do </w:t>
      </w:r>
      <w:r>
        <w:rPr>
          <w:b w:val="0"/>
          <w:i/>
        </w:rPr>
        <w:t xml:space="preserve">proxy</w:t>
      </w:r>
      <w:r>
        <w:rPr>
          <w:b w:val="0"/>
          <w:i w:val="0"/>
        </w:rPr>
        <w:t xml:space="preserve">, já que o código de saída não discrimina o desfecho.</w:t>
      </w:r>
    </w:p>
    <w:p w:rsidR="00154BDC" w:rsidRDefault="00893410">
      <w:pPr>
        <w:spacing w:before="120" w:after="0" w:line="360" w:lineRule="auto"/>
      </w:pPr>
      <w:r>
        <w:rPr>
          <w:b/>
        </w:rPr>
        <w:t>Limitações e ameaças à validade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Quatro limitações são declaradas de partida. O efeito de um </w:t>
      </w:r>
      <w:r>
        <w:rPr>
          <w:b w:val="0"/>
          <w:i/>
        </w:rPr>
        <w:t xml:space="preserve">harness</w:t>
      </w:r>
      <w:r>
        <w:rPr>
          <w:b w:val="0"/>
          <w:i w:val="0"/>
        </w:rPr>
        <w:t xml:space="preserve"> é específico do modelo e pode inverter de sinal, o que restringe qualquer conclusão ao nível de modelo em que for obtida; o objetivo (5) existe para testar isso. O produto é um único SaaS sobre uma única pilha (TypeScript, TanStack Start, tRPC, Drizzle), então o resultado vale para tarefas dessa família, e a transferência para outras pilhas fica registrada como trabalho futuro. A especificação é escrita pelo autor, então carrega as escolhas de um humano, e cada braço carrega os próprios erros de uma unidade para a seguinte; a mitigação é que os dois braços recebem a mesma especificação e partem do mesmo espaço de trabalho vazio, e a comparação é pareada por unidade. Os valores absolutos não serão comparáveis a placares públicos, porque o produto é próprio, e os valores em dólar citados de fontes externas vêm de outros modelos e de níveis pagos; a comparação válida aqui é entre os dois braços, e o custo em dinheiro será um contrafactual de ordem de grandeza sobre tarifas pagas publicadas, rotulado como tal onde apareça.</w:t>
      </w:r>
    </w:p>
    <w:p w:rsidR="00154BDC" w:rsidRDefault="00893410">
      <w:pPr>
        <w:keepNext/>
        <w:spacing w:before="240" w:after="120" w:line="360" w:lineRule="auto"/>
      </w:pPr>
      <w:r>
        <w:rPr>
          <w:b/>
          <w:sz w:val="28"/>
        </w:rPr>
        <w:t>4 ORÇAMENTO</w:t>
      </w:r>
    </w:p>
    <w:p w:rsidR="00154BDC" w:rsidRDefault="00893410">
      <w:pPr>
        <w:keepNext/>
        <w:spacing w:before="120" w:after="40" w:line="240" w:lineRule="auto"/>
      </w:pPr>
      <w:r>
        <w:rPr>
          <w:sz w:val="20"/>
        </w:rPr>
        <w:t>Tabela 1 – Orçamento do projeto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0"/>
        <w:gridCol w:w="2551"/>
      </w:tblGrid>
      <w:tr w:rsidR="00154BDC">
        <w:trPr>
          <w:jc w:val="center"/>
        </w:trPr>
        <w:tc>
          <w:tcPr>
            <w:tcW w:w="6520" w:type="dxa"/>
          </w:tcPr>
          <w:p w:rsidR="00154BDC" w:rsidRDefault="00893410">
            <w:pPr>
              <w:spacing w:before="20" w:after="20"/>
            </w:pPr>
            <w:r>
              <w:rPr>
                <w:b/>
                <w:sz w:val="22"/>
              </w:rPr>
              <w:t>Item</w:t>
            </w:r>
          </w:p>
        </w:tc>
        <w:tc>
          <w:tcPr>
            <w:tcW w:w="2551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b/>
                <w:sz w:val="22"/>
              </w:rPr>
              <w:t>Custo</w:t>
            </w:r>
          </w:p>
        </w:tc>
      </w:tr>
      <w:tr w:rsidR="00154BDC">
        <w:trPr>
          <w:jc w:val="center"/>
        </w:trPr>
        <w:tc>
          <w:tcPr>
            <w:tcW w:w="6520" w:type="dxa"/>
          </w:tcPr>
          <w:p w:rsidR="00154BDC" w:rsidRDefault="00893410">
            <w:pPr>
              <w:spacing w:before="20" w:after="20"/>
            </w:pPr>
            <w:r>
              <w:rPr>
                <w:sz w:val="22"/>
              </w:rPr>
              <w:t>Inferência dos modelos (dois níveis, nível gratuito do gateway)</w:t>
            </w:r>
          </w:p>
        </w:tc>
        <w:tc>
          <w:tcPr>
            <w:tcW w:w="2551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22"/>
              </w:rPr>
              <w:t>R$ 0,00</w:t>
            </w:r>
          </w:p>
        </w:tc>
      </w:tr>
      <w:tr w:rsidR="00154BDC">
        <w:trPr>
          <w:jc w:val="center"/>
        </w:trPr>
        <w:tc>
          <w:tcPr>
            <w:tcW w:w="6520" w:type="dxa"/>
          </w:tcPr>
          <w:p>
            <w:pPr>
              <w:spacing w:before="20" w:after="20"/>
            </w:pPr>
            <w:r>
              <w:rPr>
                <w:b w:val="0"/>
                <w:i/>
                <w:sz w:val="22"/>
              </w:rPr>
              <w:t xml:space="preserve">Harnesses</w:t>
            </w:r>
            <w:r>
              <w:rPr>
                <w:b w:val="0"/>
                <w:i w:val="0"/>
                <w:sz w:val="22"/>
              </w:rPr>
              <w:t xml:space="preserve"> e ferramentas (OpenCode e pi, código aberto; Node.js e PostgreSQL)</w:t>
            </w:r>
          </w:p>
        </w:tc>
        <w:tc>
          <w:tcPr>
            <w:tcW w:w="2551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22"/>
              </w:rPr>
              <w:t>R$ 0,00</w:t>
            </w:r>
          </w:p>
        </w:tc>
      </w:tr>
      <w:tr w:rsidR="00154BDC">
        <w:trPr>
          <w:jc w:val="center"/>
        </w:trPr>
        <w:tc>
          <w:tcPr>
            <w:tcW w:w="6520" w:type="dxa"/>
          </w:tcPr>
          <w:p w:rsidR="00154BDC" w:rsidRDefault="00893410">
            <w:pPr>
              <w:spacing w:before="20" w:after="20"/>
            </w:pPr>
            <w:r>
              <w:rPr>
                <w:sz w:val="22"/>
              </w:rPr>
              <w:t>Máquinas (estação pessoal NixOS e estação pessoal Windows)</w:t>
            </w:r>
          </w:p>
        </w:tc>
        <w:tc>
          <w:tcPr>
            <w:tcW w:w="2551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22"/>
              </w:rPr>
              <w:t>R$ 0,00 (já disponíveis)</w:t>
            </w:r>
          </w:p>
        </w:tc>
      </w:tr>
      <w:tr w:rsidR="00154BDC">
        <w:trPr>
          <w:jc w:val="center"/>
        </w:trPr>
        <w:tc>
          <w:tcPr>
            <w:tcW w:w="6520" w:type="dxa"/>
          </w:tcPr>
          <w:p w:rsidR="00154BDC" w:rsidRDefault="00893410">
            <w:pPr>
              <w:spacing w:before="20" w:after="20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w="2551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b/>
                <w:sz w:val="22"/>
              </w:rPr>
              <w:t>R$ 0,00</w:t>
            </w:r>
          </w:p>
        </w:tc>
      </w:tr>
    </w:tbl>
    <w:p w:rsidR="00154BDC" w:rsidRDefault="00893410">
      <w:pPr>
        <w:spacing w:before="40" w:after="120" w:line="240" w:lineRule="auto"/>
      </w:pPr>
      <w:r>
        <w:rPr>
          <w:sz w:val="20"/>
        </w:rPr>
        <w:t>Fonte: elaborado pelo autor (2026).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O total em dinheiro é zero, e o limite que restringe o experimento será a cota do nível gratuito do </w:t>
      </w:r>
      <w:r>
        <w:rPr>
          <w:b w:val="0"/>
          <w:i/>
        </w:rPr>
        <w:t xml:space="preserve">gateway</w:t>
      </w:r>
      <w:r>
        <w:rPr>
          <w:b w:val="0"/>
          <w:i w:val="0"/>
        </w:rPr>
        <w:t xml:space="preserve">, a ser medida nas unidades-piloto contra o número de requisições que uma unidade do Finn consome. Por isso cada construção será executada em lotes distribuídos ao longo de dias, retomada na fronteira entre unidades, e o custo monetário aparecerá apenas como contrafactual de ordem de grandeza sobre as tarifas pagas publicadas.</w:t>
      </w:r>
    </w:p>
    <w:p w:rsidR="00154BDC" w:rsidRDefault="00893410">
      <w:pPr>
        <w:keepNext/>
        <w:spacing w:before="240" w:after="120" w:line="360" w:lineRule="auto"/>
      </w:pPr>
      <w:r>
        <w:rPr>
          <w:b/>
          <w:sz w:val="28"/>
        </w:rPr>
        <w:lastRenderedPageBreak/>
        <w:t>5 CRONOGRAMA</w:t>
      </w:r>
    </w:p>
    <w:p>
      <w:pPr>
        <w:spacing w:after="0" w:line="360" w:lineRule="auto"/>
        <w:ind w:firstLine="709"/>
        <w:jc w:val="both"/>
      </w:pPr>
      <w:r>
        <w:rPr>
          <w:b w:val="0"/>
          <w:i w:val="0"/>
        </w:rPr>
        <w:t xml:space="preserve">A cota gratuita deve ser o limite vinculante, então a cadência prevista é de um lote da matriz por dia e o calendário se estende por semanas. A folga está concentrada na execução da matriz e na escrita da especificação e dos testes de aceitação, onde está o risco. Os meses vão de agosto de 2026 a janeiro de 2027. A escrita deste projeto foi concluída em setembro de 2026, mês de entrega, e os experimentos práticos ocorrem a partir de outubro.</w:t>
      </w:r>
    </w:p>
    <w:p w:rsidR="00154BDC" w:rsidRDefault="00893410">
      <w:pPr>
        <w:keepNext/>
        <w:spacing w:before="120" w:after="40" w:line="240" w:lineRule="auto"/>
      </w:pPr>
      <w:r>
        <w:rPr>
          <w:sz w:val="20"/>
        </w:rPr>
        <w:t>Tabela 2 – Cronograma de execução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952"/>
        <w:gridCol w:w="952"/>
        <w:gridCol w:w="952"/>
        <w:gridCol w:w="952"/>
        <w:gridCol w:w="952"/>
        <w:gridCol w:w="952"/>
      </w:tblGrid>
      <w:tr w:rsidR="00154BDC">
        <w:trPr>
          <w:jc w:val="center"/>
        </w:trPr>
        <w:tc>
          <w:tcPr>
            <w:tcW w:w="4309" w:type="dxa"/>
          </w:tcPr>
          <w:p w:rsidR="00154BDC" w:rsidRDefault="00893410">
            <w:pPr>
              <w:spacing w:before="20" w:after="20"/>
            </w:pPr>
            <w:r>
              <w:rPr>
                <w:b/>
                <w:sz w:val="18"/>
              </w:rPr>
              <w:t>FASES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b/>
                <w:sz w:val="18"/>
              </w:rPr>
              <w:t xml:space="preserve">AGOSTO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b/>
                <w:sz w:val="18"/>
              </w:rPr>
              <w:t xml:space="preserve">SETEMBRO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b/>
                <w:sz w:val="18"/>
              </w:rPr>
              <w:t xml:space="preserve">OUTUBRO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b/>
                <w:sz w:val="18"/>
              </w:rPr>
              <w:t xml:space="preserve">NOVEMBRO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b/>
                <w:sz w:val="18"/>
              </w:rPr>
              <w:t xml:space="preserve">DEZEMBRO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b/>
                <w:sz w:val="18"/>
              </w:rPr>
              <w:t xml:space="preserve">JANEIRO</w:t>
            </w:r>
          </w:p>
        </w:tc>
      </w:tr>
      <w:tr w:rsidR="00154BDC">
        <w:trPr>
          <w:jc w:val="center"/>
        </w:trPr>
        <w:tc>
          <w:tcPr>
            <w:tcW w:w="4309" w:type="dxa"/>
          </w:tcPr>
          <w:p w:rsidR="00154BDC" w:rsidRDefault="00893410">
            <w:pPr>
              <w:spacing w:before="20" w:after="20"/>
            </w:pPr>
            <w:r>
              <w:rPr>
                <w:sz w:val="18"/>
              </w:rPr>
              <w:t xml:space="preserve">LEITURA E LEVANTAMENTO </w:t>
            </w:r>
            <w:r>
              <w:rPr>
                <w:sz w:val="18"/>
              </w:rPr>
              <w:t>BIBLIOGRÁFICO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>X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>X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</w:tr>
      <w:tr w:rsidR="00154BDC">
        <w:trPr>
          <w:jc w:val="center"/>
        </w:trPr>
        <w:tc>
          <w:tcPr>
            <w:tcW w:w="4309" w:type="dxa"/>
          </w:tcPr>
          <w:p w:rsidR="00154BDC" w:rsidRDefault="00893410">
            <w:pPr>
              <w:spacing w:before="20" w:after="20"/>
            </w:pPr>
            <w:r>
              <w:rPr>
                <w:sz w:val="18"/>
              </w:rPr>
              <w:t>DEFINIÇÃO DO TEMA, DO PROBLEMA E DAS HIPÓTESES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>X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>X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</w:tr>
      <w:tr w:rsidR="00154BDC">
        <w:trPr>
          <w:jc w:val="center"/>
        </w:trPr>
        <w:tc>
          <w:tcPr>
            <w:tcW w:w="4309" w:type="dxa"/>
          </w:tcPr>
          <w:p>
            <w:pPr>
              <w:spacing w:before="20" w:after="20"/>
            </w:pPr>
            <w:r>
              <w:rPr>
                <w:b w:val="0"/>
                <w:i w:val="0"/>
                <w:sz w:val="18"/>
              </w:rPr>
              <w:t xml:space="preserve">CONSTRUÇÃO DO INSTRUMENTO, DA ESPECIFICAÇÃO E DOS TESTES DE ACEITAÇÃO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>X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>X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</w:tr>
      <w:tr w:rsidR="00154BDC">
        <w:trPr>
          <w:jc w:val="center"/>
        </w:trPr>
        <w:tc>
          <w:tcPr>
            <w:tcW w:w="4309" w:type="dxa"/>
          </w:tcPr>
          <w:p w:rsidR="00154BDC" w:rsidRDefault="00893410">
            <w:pPr>
              <w:spacing w:before="20" w:after="20"/>
            </w:pPr>
            <w:r>
              <w:rPr>
                <w:sz w:val="18"/>
              </w:rPr>
              <w:t>ESCREVENDO INTRODUÇÃO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>X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>X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</w:tr>
      <w:tr w:rsidR="00154BDC">
        <w:trPr>
          <w:jc w:val="center"/>
        </w:trPr>
        <w:tc>
          <w:tcPr>
            <w:tcW w:w="4309" w:type="dxa"/>
          </w:tcPr>
          <w:p w:rsidR="00154BDC" w:rsidRDefault="00893410">
            <w:pPr>
              <w:spacing w:before="20" w:after="20"/>
            </w:pPr>
            <w:r>
              <w:rPr>
                <w:sz w:val="18"/>
              </w:rPr>
              <w:t>ESCREVENDO REFERENCIAL TEÓRICO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>X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>X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</w:tr>
      <w:tr w:rsidR="00154BDC">
        <w:trPr>
          <w:jc w:val="center"/>
        </w:trPr>
        <w:tc>
          <w:tcPr>
            <w:tcW w:w="4309" w:type="dxa"/>
          </w:tcPr>
          <w:p w:rsidR="00154BDC" w:rsidRDefault="00893410">
            <w:pPr>
              <w:spacing w:before="20" w:after="20"/>
            </w:pPr>
            <w:r>
              <w:rPr>
                <w:sz w:val="18"/>
              </w:rPr>
              <w:t>ESCREVENDO MATERIAL E MÉTODO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>X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>X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</w:tr>
      <w:tr w:rsidR="00154BDC">
        <w:trPr>
          <w:jc w:val="center"/>
        </w:trPr>
        <w:tc>
          <w:tcPr>
            <w:tcW w:w="4309" w:type="dxa"/>
          </w:tcPr>
          <w:p w:rsidR="00154BDC" w:rsidRDefault="00893410">
            <w:pPr>
              <w:spacing w:before="20" w:after="20"/>
            </w:pPr>
            <w:r>
              <w:rPr>
                <w:sz w:val="18"/>
              </w:rPr>
              <w:t xml:space="preserve">EXECUÇÃO DA </w:t>
            </w:r>
            <w:r>
              <w:rPr>
                <w:sz w:val="18"/>
              </w:rPr>
              <w:t>MATRIZ DE EXPERIMENTOS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>X</w:t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>X</w:t>
            </w:r>
          </w:p>
        </w:tc>
      </w:tr>
      <w:tr w:rsidR="00154BDC">
        <w:trPr>
          <w:jc w:val="center"/>
        </w:trPr>
        <w:tc>
          <w:tcPr>
            <w:tcW w:w="4309" w:type="dxa"/>
          </w:tcPr>
          <w:p w:rsidR="00154BDC" w:rsidRDefault="00893410">
            <w:pPr>
              <w:spacing w:before="20" w:after="20"/>
            </w:pPr>
            <w:r>
              <w:rPr>
                <w:sz w:val="18"/>
              </w:rPr>
              <w:t>ANÁLISE DOS RESULTADOS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>X</w:t>
            </w:r>
          </w:p>
        </w:tc>
      </w:tr>
      <w:tr w:rsidR="00154BDC">
        <w:trPr>
          <w:jc w:val="center"/>
        </w:trPr>
        <w:tc>
          <w:tcPr>
            <w:tcW w:w="4309" w:type="dxa"/>
          </w:tcPr>
          <w:p w:rsidR="00154BDC" w:rsidRDefault="00893410">
            <w:pPr>
              <w:spacing w:before="20" w:after="20"/>
            </w:pPr>
            <w:r>
              <w:rPr>
                <w:sz w:val="18"/>
              </w:rPr>
              <w:t>ELABORANDO AS REFERÊNCIAS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>X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>X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 w:rsidR="00154BDC">
        <w:trPr>
          <w:jc w:val="center"/>
        </w:trPr>
        <w:tc>
          <w:tcPr>
            <w:tcW w:w="4309" w:type="dxa"/>
          </w:tcPr>
          <w:p w:rsidR="00154BDC" w:rsidRDefault="00893410">
            <w:pPr>
              <w:spacing w:before="20" w:after="20"/>
            </w:pPr>
            <w:r>
              <w:rPr>
                <w:sz w:val="18"/>
              </w:rPr>
              <w:t>REVISÃO FINAL E PREPARAÇÃO DA APRESENTAÇÃO</w:t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>
                <w:sz w:val="18"/>
              </w:rPr>
              <w:t xml:space="preserve">X</w:t>
            </w: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154BDC">
            <w:pPr>
              <w:spacing w:before="20" w:after="20"/>
              <w:jc w:val="center"/>
            </w:pPr>
            <w:r>
              <w:rPr/>
              <w:t xml:space="preserve"/>
            </w:r>
          </w:p>
        </w:tc>
        <w:tc>
          <w:tcPr>
            <w:tcW w:w="952" w:type="dxa"/>
          </w:tcPr>
          <w:p w:rsidR="00154BDC" w:rsidRDefault="00893410">
            <w:pPr>
              <w:spacing w:before="20" w:after="2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p w:rsidR="00154BDC" w:rsidRDefault="00893410">
      <w:pPr>
        <w:spacing w:before="40" w:after="120" w:line="240" w:lineRule="auto"/>
      </w:pPr>
      <w:r>
        <w:rPr>
          <w:sz w:val="20"/>
        </w:rPr>
        <w:t>Fonte: elaborado pelo autor (2026).</w:t>
      </w:r>
    </w:p>
    <w:p w:rsidR="00154BDC" w:rsidRDefault="00893410">
      <w:pPr>
        <w:keepNext/>
        <w:spacing w:before="240" w:after="120" w:line="360" w:lineRule="auto"/>
      </w:pPr>
      <w:r>
        <w:rPr>
          <w:b/>
          <w:sz w:val="28"/>
        </w:rPr>
        <w:t>6 REFERÊNCIAS</w:t>
      </w:r>
    </w:p>
    <w:p w:rsidR="00154BDC" w:rsidRDefault="00893410">
      <w:pPr>
        <w:spacing w:after="240" w:line="240" w:lineRule="auto"/>
      </w:pPr>
      <w:r>
        <w:t xml:space="preserve">ALIER FORMENT, Marc; CASAÑ GUERRERO, María José; GARCÍA-PEÑALVO, Francisco José; PEREIRA, Juanan. </w:t>
      </w:r>
      <w:r>
        <w:rPr>
          <w:b/>
        </w:rPr>
        <w:t>The scaffolding matters more than the interface</w:t>
      </w:r>
      <w:r>
        <w:t>: a controlled comparison of MCP and CLI tool use across seven agent scaffoldings, five language models, and on</w:t>
      </w:r>
      <w:r>
        <w:t xml:space="preserve">e software task. arXiv:2608.08654, 2026. </w:t>
      </w:r>
      <w:r>
        <w:rPr>
          <w:i/>
        </w:rPr>
        <w:t>Preprint</w:t>
      </w:r>
      <w:r>
        <w:t>, não revisado por pares. Disponível em: https://arxiv.org/abs/2608.08654. Acesso em: 9 set. 2026.</w:t>
      </w:r>
    </w:p>
    <w:p>
      <w:pPr>
        <w:spacing w:after="240" w:line="240" w:lineRule="auto"/>
      </w:pPr>
      <w:r>
        <w:rPr>
          <w:b w:val="0"/>
          <w:i w:val="0"/>
        </w:rPr>
        <w:t xml:space="preserve">BRASIL. Conselho Nacional de Desenvolvimento Científico e Tecnológico. </w:t>
      </w:r>
      <w:r>
        <w:rPr>
          <w:b/>
          <w:i w:val="0"/>
        </w:rPr>
        <w:t xml:space="preserve">Portaria CNPq nº 2.664, de 6 de março de 2026</w:t>
      </w:r>
      <w:r>
        <w:rPr>
          <w:b w:val="0"/>
          <w:i w:val="0"/>
        </w:rPr>
        <w:t xml:space="preserve">. Institui a Política de Integridade na Atividade Científica do CNPq. Diário Oficial da União: seção 1, Brasília, DF, p. 4, 11 mar. 2026. Disponível em: http://memoria2.cnpq.br/web/guest/view/-/journal_content/56_INSTANCE_0oED/10157/23142775. Acesso em: 11 set. 2026.</w:t>
      </w:r>
    </w:p>
    <w:p w:rsidR="00154BDC" w:rsidRDefault="00893410">
      <w:pPr>
        <w:spacing w:after="240" w:line="240" w:lineRule="auto"/>
      </w:pPr>
      <w:r>
        <w:t xml:space="preserve">EARENDIL. </w:t>
      </w:r>
      <w:r>
        <w:rPr>
          <w:b/>
        </w:rPr>
        <w:t>Pi, minimal and performant</w:t>
      </w:r>
      <w:r>
        <w:t>. 2026. Publ</w:t>
      </w:r>
      <w:r>
        <w:t>icação de blogue institucional. Disponível em: https://earendil.com/posts/pi-autoresearch-and-databricks/. Acesso em: 28 ago. 2026.</w:t>
      </w:r>
    </w:p>
    <w:p w:rsidR="00154BDC" w:rsidRDefault="00893410">
      <w:pPr>
        <w:spacing w:after="240" w:line="240" w:lineRule="auto"/>
      </w:pPr>
      <w:r>
        <w:t xml:space="preserve">HARNESSRANK. </w:t>
      </w:r>
      <w:r>
        <w:rPr>
          <w:b/>
        </w:rPr>
        <w:t>HarnessRank</w:t>
      </w:r>
      <w:r>
        <w:t>: coding-age</w:t>
      </w:r>
      <w:r>
        <w:t>nt harness rankings. 2026. Disponível em: https://harnessrank.net/. Acesso em: 28 ago. 2026.</w:t>
      </w:r>
    </w:p>
    <w:p w:rsidR="00154BDC" w:rsidRDefault="00893410">
      <w:pPr>
        <w:spacing w:after="240" w:line="240" w:lineRule="auto"/>
      </w:pPr>
      <w:r>
        <w:t xml:space="preserve">KAPOOR, Sayash; STROEBL, Benedikt; SIEGEL, Zachary S.; NADGIR, Nitya; NARAYANAN, Arvind. </w:t>
      </w:r>
      <w:r>
        <w:rPr>
          <w:b/>
        </w:rPr>
        <w:t>AI agents that matter</w:t>
      </w:r>
      <w:r>
        <w:t xml:space="preserve">. arXiv:2407.01502, 2024. </w:t>
      </w:r>
      <w:r>
        <w:rPr>
          <w:i/>
        </w:rPr>
        <w:t>Preprint</w:t>
      </w:r>
      <w:r>
        <w:t>, não revisado por pares. Disponível em: https://arxiv.org/abs/2407.01502. Acesso em: 28 ago. 2</w:t>
      </w:r>
      <w:r>
        <w:t>026.</w:t>
      </w:r>
    </w:p>
    <w:p w:rsidR="00154BDC" w:rsidRDefault="00893410">
      <w:pPr>
        <w:spacing w:after="240" w:line="240" w:lineRule="auto"/>
      </w:pPr>
      <w:r>
        <w:t xml:space="preserve">KAPOOR, Sayash </w:t>
      </w:r>
      <w:r>
        <w:rPr>
          <w:i/>
        </w:rPr>
        <w:t>et al.</w:t>
      </w:r>
      <w:r>
        <w:t xml:space="preserve"> </w:t>
      </w:r>
      <w:r>
        <w:rPr>
          <w:b/>
        </w:rPr>
        <w:t>Holistic Agent Leaderboard</w:t>
      </w:r>
      <w:r>
        <w:t xml:space="preserve">: the missing infrastructure for AI agent evaluation. arXiv:2510.11977, 2025. </w:t>
      </w:r>
      <w:r>
        <w:rPr>
          <w:i/>
        </w:rPr>
        <w:t>Preprint</w:t>
      </w:r>
      <w:r>
        <w:t>, não revisado por pares. Disponível em: https://arxiv.org/abs/2510.11977. Acesso em: 28 ago. 2026.</w:t>
      </w:r>
    </w:p>
    <w:p>
      <w:pPr>
        <w:spacing w:after="240" w:line="240" w:lineRule="auto"/>
      </w:pPr>
      <w:r>
        <w:rPr>
          <w:b w:val="0"/>
          <w:i w:val="0"/>
        </w:rPr>
        <w:t xml:space="preserve">KARPATHY, Andrej. LLM Wiki: a pattern for building personal knowledge bases using LLMs. 2026. Gist (GitHub). Disponível em: https://gist.github.com/karpathy/442a6bf555914893e9891c11519de94f. Acesso em: 14 set. 2026.</w:t>
      </w:r>
    </w:p>
    <w:p w:rsidR="00154BDC" w:rsidRDefault="00893410">
      <w:pPr>
        <w:spacing w:after="240" w:line="240" w:lineRule="auto"/>
      </w:pPr>
      <w:r>
        <w:t>LEE, Yoonho; NAIR</w:t>
      </w:r>
      <w:r>
        <w:t xml:space="preserve">, Roshen; ZHANG, Qizheng; LEE, Kangwook; KHATTAB, Omar; FINN, Chelsea. </w:t>
      </w:r>
      <w:r>
        <w:rPr>
          <w:b/>
        </w:rPr>
        <w:t>Meta-Harness</w:t>
      </w:r>
      <w:r>
        <w:t xml:space="preserve">: end-to-end optimization of model harnesses. arXiv:2603.28052, 2026. </w:t>
      </w:r>
      <w:r>
        <w:rPr>
          <w:i/>
        </w:rPr>
        <w:t>Preprint</w:t>
      </w:r>
      <w:r>
        <w:t>, não revisado por pares. Disponível em: https://arxiv.org/abs/2603.28052. Acesso em: 9 set. 20</w:t>
      </w:r>
      <w:r>
        <w:t>26.</w:t>
      </w:r>
    </w:p>
    <w:p w:rsidR="00154BDC" w:rsidRDefault="00893410">
      <w:pPr>
        <w:spacing w:after="240" w:line="240" w:lineRule="auto"/>
      </w:pPr>
      <w:r>
        <w:t xml:space="preserve">LIN, Jiahang; LIU, Shichun; PAN, Chengjun; LIN, Lizhi; DOU, Shihan; XI, Zhiheng; HUANG, Xuanjing; YAN, Hang; HAN, Zhenhua; GUI, Tao; JIANG, Yu-Gang. </w:t>
      </w:r>
      <w:r>
        <w:rPr>
          <w:b/>
        </w:rPr>
        <w:t>Agentic harness engineering</w:t>
      </w:r>
      <w:r>
        <w:t>: observability-driven automatic evolution of coding-agent harnesses. arXiv:</w:t>
      </w:r>
      <w:r>
        <w:t xml:space="preserve">2604.25850, 2026. </w:t>
      </w:r>
      <w:r>
        <w:rPr>
          <w:i/>
        </w:rPr>
        <w:t>Preprint</w:t>
      </w:r>
      <w:r>
        <w:t>, não revisado por pares. Disponível em: https://arxiv.org/abs/2604.25850. Acesso em: 28 ago. 2026.</w:t>
      </w:r>
    </w:p>
    <w:p>
      <w:pPr>
        <w:spacing w:after="240" w:line="240" w:lineRule="auto"/>
      </w:pPr>
      <w:r>
        <w:rPr>
          <w:b w:val="0"/>
          <w:i w:val="0"/>
        </w:rPr>
        <w:t xml:space="preserve">MILLER, Evan. </w:t>
      </w:r>
      <w:r>
        <w:rPr>
          <w:b/>
          <w:i w:val="0"/>
        </w:rPr>
        <w:t xml:space="preserve">Adding error bars to evals</w:t>
      </w:r>
      <w:r>
        <w:rPr>
          <w:b w:val="0"/>
          <w:i w:val="0"/>
        </w:rPr>
        <w:t xml:space="preserve">: a statistical approach to language model evaluations. arXiv:2411.00640, 2024. </w:t>
      </w:r>
      <w:r>
        <w:rPr>
          <w:b w:val="0"/>
          <w:i/>
        </w:rPr>
        <w:t xml:space="preserve">Preprint</w:t>
      </w:r>
      <w:r>
        <w:rPr>
          <w:b w:val="0"/>
          <w:i w:val="0"/>
        </w:rPr>
        <w:t xml:space="preserve">, não revisado por pares. Disponível em: https://arxiv.org/abs/2411.00640. Acesso em: 28 ago. 2026.</w:t>
      </w:r>
    </w:p>
    <w:p w:rsidR="00154BDC" w:rsidRDefault="00893410">
      <w:pPr>
        <w:spacing w:after="240" w:line="240" w:lineRule="auto"/>
      </w:pPr>
      <w:r>
        <w:t xml:space="preserve">NING, Xuying </w:t>
      </w:r>
      <w:r>
        <w:rPr>
          <w:i/>
        </w:rPr>
        <w:t>et al.</w:t>
      </w:r>
      <w:r>
        <w:t xml:space="preserve"> </w:t>
      </w:r>
      <w:r>
        <w:rPr>
          <w:b/>
        </w:rPr>
        <w:t>Code as agent harness</w:t>
      </w:r>
      <w:r>
        <w:t>. arXiv:2605.18747, 2</w:t>
      </w:r>
      <w:r>
        <w:t xml:space="preserve">026. </w:t>
      </w:r>
      <w:r>
        <w:rPr>
          <w:i/>
        </w:rPr>
        <w:t>Preprint</w:t>
      </w:r>
      <w:r>
        <w:t>, não revisado por pares. Disponível em: https://arxiv.org/abs/2605.18747. Acesso em: 28 ago. 2026.</w:t>
      </w:r>
    </w:p>
    <w:p>
      <w:pPr>
        <w:spacing w:after="240" w:line="240" w:lineRule="auto"/>
      </w:pPr>
      <w:r>
        <w:rPr>
          <w:b w:val="0"/>
          <w:i w:val="0"/>
        </w:rPr>
        <w:t xml:space="preserve">OPENCODE. OpenCode: the open source coding agent. 2026a. Repositório de código. Disponível em: https://github.com/anomalyco/opencode. Acesso em: 14 set. 2026.</w:t>
      </w:r>
    </w:p>
    <w:p>
      <w:pPr>
        <w:spacing w:after="240" w:line="240" w:lineRule="auto"/>
      </w:pPr>
      <w:r>
        <w:rPr>
          <w:b w:val="0"/>
          <w:i w:val="0"/>
        </w:rPr>
        <w:t xml:space="preserve">OPENCODE. Zen. 2026b. Documentação do produto. Disponível em: https://opencode.ai/docs/zen/. Acesso em: 28 ago. 2026.</w:t>
      </w:r>
    </w:p>
    <w:p w:rsidR="00154BDC" w:rsidRDefault="00893410">
      <w:pPr>
        <w:spacing w:after="240" w:line="240" w:lineRule="auto"/>
      </w:pPr>
      <w:r>
        <w:t xml:space="preserve">RUNTA. </w:t>
      </w:r>
      <w:r>
        <w:rPr>
          <w:b/>
        </w:rPr>
        <w:t>Introducing the FrontierHarness eval</w:t>
      </w:r>
      <w:r>
        <w:t>. 2026. Publicação de blogue institucional. Disponível em: https://runta.com/blog/introducing-frontierharness-eval/. Acesso em: 9 set. 2026.</w:t>
      </w:r>
    </w:p>
    <w:p w:rsidR="00154BDC" w:rsidRDefault="00893410">
      <w:pPr>
        <w:spacing w:after="240" w:line="240" w:lineRule="auto"/>
      </w:pPr>
      <w:r>
        <w:lastRenderedPageBreak/>
        <w:t>WAN</w:t>
      </w:r>
      <w:r>
        <w:t xml:space="preserve">G, Ruhan </w:t>
      </w:r>
      <w:r>
        <w:rPr>
          <w:i/>
        </w:rPr>
        <w:t>et al.</w:t>
      </w:r>
      <w:r>
        <w:t xml:space="preserve"> </w:t>
      </w:r>
      <w:r>
        <w:rPr>
          <w:b/>
        </w:rPr>
        <w:t>Harness Handbook</w:t>
      </w:r>
      <w:r>
        <w:t xml:space="preserve">: making evolving agent harnesses readable, navigable, and editable. arXiv:2607.13285, 2026. </w:t>
      </w:r>
      <w:r>
        <w:rPr>
          <w:i/>
        </w:rPr>
        <w:t>Preprint</w:t>
      </w:r>
      <w:r>
        <w:t>, não revisado por pares. Disponível em: https://arxiv.org/abs/2607.13285. Acesso em: 9 set. 2026.</w:t>
      </w:r>
    </w:p>
    <w:p w:rsidR="00154BDC" w:rsidRDefault="00893410">
      <w:pPr>
        <w:spacing w:after="240" w:line="240" w:lineRule="auto"/>
      </w:pPr>
      <w:r>
        <w:t>YANG, John; JIMENEZ, Car</w:t>
      </w:r>
      <w:r>
        <w:t xml:space="preserve">los E.; WETTIG, Alexander; LIERET, Kilian; YAO, Shunyu; NARASIMHAN, Karthik; PRESS, Ofir. </w:t>
      </w:r>
      <w:r>
        <w:rPr>
          <w:b/>
        </w:rPr>
        <w:t>SWE-agent</w:t>
      </w:r>
      <w:r>
        <w:t>: agent-computer interfaces enable automated software engineering. arXiv:2405.15793, 2024. Trabalho apresentado na Conference on Neural Information Processin</w:t>
      </w:r>
      <w:r>
        <w:t>g Systems (NeurIPS), 2024. Disponível em: https://arxiv.org/abs/2405.15793. Acesso em: 28 ago. 2026.</w:t>
      </w:r>
    </w:p>
    <w:p w:rsidR="00154BDC" w:rsidRDefault="00893410">
      <w:pPr>
        <w:spacing w:after="240" w:line="240" w:lineRule="auto"/>
      </w:pPr>
      <w:r>
        <w:t xml:space="preserve">YAO, Shunyu; ZHAO, Jeffrey; YU, Dian; DU, Nan; SHAFRAN, Izhak; NARASIMHAN, Karthik; CAO, Yuan. </w:t>
      </w:r>
      <w:r>
        <w:rPr>
          <w:b/>
        </w:rPr>
        <w:t>ReAct</w:t>
      </w:r>
      <w:r>
        <w:t xml:space="preserve">: synergizing reasoning and acting in language models. </w:t>
      </w:r>
      <w:r>
        <w:t>arXiv:2210.03629, 2022. Trabalho apresentado na International Conference on Learning Representations (ICLR), 2023. Disponível em: https://arxiv.org/abs/2210.03629. Acesso em: 28 ago. 2026.</w:t>
      </w:r>
    </w:p>
    <w:p>
      <w:pPr>
        <w:spacing w:after="240" w:line="240" w:lineRule="auto"/>
      </w:pPr>
      <w:r>
        <w:rPr>
          <w:b w:val="0"/>
          <w:i w:val="0"/>
        </w:rPr>
        <w:t xml:space="preserve">YUUKIFST. agent-dotfiles: skill Helmsman, mapa de decisões para agentes de codificação. 2026a. Repositório de código. Disponível em: https://github.com/YuukiFST/agent-dotfiles/tree/main/skills/helmsman. Acesso em: 15 set. 2026.</w:t>
      </w:r>
    </w:p>
    <w:p>
      <w:pPr>
        <w:spacing w:after="240" w:line="240" w:lineRule="auto"/>
      </w:pPr>
      <w:r>
        <w:rPr>
          <w:b w:val="0"/>
          <w:i w:val="0"/>
        </w:rPr>
        <w:t xml:space="preserve">YUUKIFST. Finn: SaaS universal de financeiro por voz. 2026b. Repositório de código. Disponível em: https://github.com/YuukiFST/Finn. Acesso em: 14 set. 2026.</w:t>
      </w:r>
    </w:p>
    <w:p>
      <w:pPr>
        <w:spacing w:after="240" w:line="240" w:lineRule="auto"/>
      </w:pPr>
      <w:r>
        <w:rPr>
          <w:b w:val="0"/>
          <w:i w:val="0"/>
        </w:rPr>
        <w:t xml:space="preserve">YUUKIFST. harness-bench: executor, prompts, testes de aceitação, dados brutos e scripts de análise deste projeto. 2026c. Repositório de código. Disponível em: https://github.com/YuukiFST/harness-bench. Acesso em: 28 ago. 2026.</w:t>
      </w:r>
    </w:p>
    <w:p w:rsidR="00154BDC" w:rsidRDefault="00893410">
      <w:pPr>
        <w:spacing w:after="240" w:line="240" w:lineRule="auto"/>
      </w:pPr>
      <w:r>
        <w:t xml:space="preserve">ZHANG, Yunbei; WANG, Janet; GE, Yingqiang; XU, Weijie; HAMM, Jihun; REDDY, Chandan K. </w:t>
      </w:r>
      <w:r>
        <w:rPr>
          <w:b/>
        </w:rPr>
        <w:t>Stop comparing LLM agents without disclosing the harness</w:t>
      </w:r>
      <w:r>
        <w:t xml:space="preserve">. arXiv:2605.23950, 2026. </w:t>
      </w:r>
      <w:r>
        <w:rPr>
          <w:i/>
        </w:rPr>
        <w:t>Preprint</w:t>
      </w:r>
      <w:r>
        <w:t>, não revisado por pares. Disponível em: https://arxiv.org/abs/2605.23950. Acess</w:t>
      </w:r>
      <w:r>
        <w:t>o em: 28 ago. 2026.</w:t>
      </w:r>
    </w:p>
    <w:sectPr w:rsidR="00154BDC" w:rsidSect="00034616">
      <w:headerReference w:type="default" r:id="rId8"/>
      <w:pgSz w:w="11906" w:h="16838"/>
      <w:pgMar w:top="1701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93410" w:rsidRDefault="00893410">
      <w:pPr>
        <w:spacing w:after="0" w:line="240" w:lineRule="auto"/>
      </w:pPr>
      <w:r>
        <w:separator/>
      </w:r>
    </w:p>
  </w:endnote>
  <w:endnote w:type="continuationSeparator" w:id="0">
    <w:p w:rsidR="00893410" w:rsidRDefault="00893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93410" w:rsidRDefault="00893410">
      <w:pPr>
        <w:spacing w:after="0" w:line="240" w:lineRule="auto"/>
      </w:pPr>
      <w:r>
        <w:separator/>
      </w:r>
    </w:p>
  </w:footnote>
  <w:footnote w:type="continuationSeparator" w:id="0">
    <w:p w:rsidR="00893410" w:rsidRDefault="00893410">
      <w:pPr>
        <w:spacing w:after="0" w:line="240" w:lineRule="auto"/>
      </w:pPr>
      <w:r>
        <w:continuationSeparator/>
      </w:r>
    </w:p>
  </w:footnote>
  <w:footnote w:id="1">
    <w:p w:rsidR="00154BDC" w:rsidRDefault="00893410">
      <w:pPr>
        <w:spacing w:after="0" w:line="240" w:lineRule="auto"/>
        <w:jc w:val="both"/>
      </w:pPr>
      <w:r>
        <w:rPr>
          <w:sz w:val="20"/>
          <w:vertAlign w:val="superscript"/>
        </w:rPr>
        <w:footnoteRef/>
      </w:r>
      <w:r>
        <w:rPr>
          <w:sz w:val="20"/>
        </w:rPr>
        <w:t xml:space="preserve"> Os exemplos de referência do template departamental (Instituto Federal de Mato Grosso, 2022) precedem as edições vigentes da ABNT NBR 6023 e da ABNT NBR 10520, e o template diverge de si mesmo ao alternar entre “Acesso em:” e “Acessado em:” e ao envolver </w:t>
      </w:r>
      <w:r>
        <w:rPr>
          <w:sz w:val="20"/>
        </w:rPr>
        <w:t xml:space="preserve">endereços eletrônicos em colchetes angulares. Onde há contradição interna, seguiu-se a edição vigente: ABNT NBR 6023:2025 na lista de referências, sem colchetes angulares e com “Acesso em:” em todas as entradas, e ABNT NBR 10520:2023 nas citações do corpo </w:t>
      </w:r>
      <w:r>
        <w:rPr>
          <w:sz w:val="20"/>
        </w:rPr>
        <w:t>do texto, com o sobrenome em caixa-alta apenas na lista de referências.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54BDC" w:rsidRDefault="00893410">
    <w:pPr>
      <w:pStyle w:val="Cabealho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BDC"/>
    <w:rsid w:val="0029639D"/>
    <w:rsid w:val="00326F90"/>
    <w:rsid w:val="00842157"/>
    <w:rsid w:val="008934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CCD814"/>
  <w14:defaultImageDpi w14:val="300"/>
  <w15:docId w15:val="{E40C0857-ECB4-4D26-98D1-A3217969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C0DC16-9286-44A0-91D9-09001A66A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3832</Words>
  <Characters>20694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Desenvolvimento</cp:lastModifiedBy>
  <cp:revision>3</cp:revision>
  <dcterms:created xsi:type="dcterms:W3CDTF">2013-12-23T23:15:00Z</dcterms:created>
  <dcterms:modified xsi:type="dcterms:W3CDTF">2026-09-11T11:07:00Z</dcterms:modified>
  <cp:category/>
</cp:coreProperties>
</file>