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i w:val="0"/>
          <w:sz w:val="24"/>
        </w:rPr>
        <w:t>INSTITUTO FEDERAL DE EDUCAÇÃO, CIÊNCIA E TECNOLOGIA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i w:val="0"/>
          <w:sz w:val="24"/>
        </w:rPr>
        <w:t>DE MATO GROSSO - CAMPUS OCTAYDE JORGE DA SILVA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i w:val="0"/>
          <w:sz w:val="24"/>
        </w:rPr>
        <w:t>DIRETORIA DE ENSINO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i w:val="0"/>
          <w:sz w:val="24"/>
        </w:rPr>
        <w:t>DEPARTAMENTO DE ÁREA DE INFORMÁTICA</w:t>
      </w:r>
    </w:p>
    <w:p/>
    <w:p/>
    <w:p/>
    <w:p/>
    <w:p>
      <w:pPr>
        <w:spacing w:after="0"/>
        <w:jc w:val="center"/>
      </w:pPr>
      <w:r>
        <w:rPr>
          <w:rFonts w:ascii="Times New Roman" w:hAnsi="Times New Roman" w:cs="Times New Roman"/>
          <w:b/>
          <w:i w:val="0"/>
          <w:sz w:val="28"/>
        </w:rPr>
        <w:t>[NOME COMPLETO]</w:t>
      </w:r>
    </w:p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 w:cs="Times New Roman"/>
          <w:b/>
          <w:i w:val="0"/>
          <w:sz w:val="32"/>
        </w:rPr>
        <w:t>HARNESSES DE AGENTES DE CODIFICAÇÃO: O IMPACTO DO PROJETO DO HARNESS SOBRE O CUSTO E O DESEMPENHO DE UM MODELO DE LINGUAGEM MANTIDO FIXO</w:t>
      </w:r>
    </w:p>
    <w:p/>
    <w:p/>
    <w:p/>
    <w:p/>
    <w:p/>
    <w:p/>
    <w:p/>
    <w:p/>
    <w:p>
      <w:pPr>
        <w:spacing w:after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Cuiabá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2026</w:t>
      </w:r>
    </w:p>
    <w:p>
      <w:r>
        <w:br w:type="page"/>
      </w:r>
    </w:p>
    <w:p>
      <w:pPr>
        <w:spacing w:after="480"/>
        <w:jc w:val="center"/>
      </w:pPr>
      <w:r>
        <w:rPr>
          <w:rFonts w:ascii="Times New Roman" w:hAnsi="Times New Roman" w:cs="Times New Roman"/>
          <w:b/>
          <w:i w:val="0"/>
          <w:sz w:val="28"/>
        </w:rPr>
        <w:t>SUMÁRIO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1 INTRODUÇÃO</w:t>
        <w:tab/>
        <w:t>1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2 REFERENCIAL TEÓRICO</w:t>
        <w:tab/>
        <w:t>2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3 MATERIAL E MÉTODO</w:t>
        <w:tab/>
        <w:t>3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4 ORÇAMENTO</w:t>
        <w:tab/>
        <w:t>6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5 CRONOGRAMA</w:t>
        <w:tab/>
        <w:t>7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6 REFERÊNCIAS</w:t>
        <w:tab/>
        <w:t>7</w:t>
      </w:r>
    </w:p>
    <w:p>
      <w:pPr>
        <w:sectPr>
          <w:pgSz w:w="11906" w:h="16838"/>
          <w:pgMar w:top="1701" w:right="1134" w:bottom="1134" w:left="1701" w:header="720" w:footer="720" w:gutter="0"/>
          <w:cols w:space="720"/>
          <w:docGrid w:linePitch="360"/>
        </w:sectPr>
      </w:pP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1 INTRODUÇÃO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Justificativa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escolha do modelo domina a discussão sobre agentes de codificação, mas não é o único fator sob controle de quem os usa. Na Tabela 1 de Lin et al. (2026)</w:t>
      </w:r>
      <w:r>
        <w:rPr>
          <w:rFonts w:ascii="Times New Roman" w:hAnsi="Times New Roman" w:cs="Times New Roman"/>
          <w:b w:val="0"/>
          <w:i w:val="0"/>
          <w:sz w:val="24"/>
          <w:vertAlign w:val="superscript"/>
        </w:rPr>
        <w:footnoteReference w:id="2"/>
      </w:r>
      <w:r>
        <w:rPr>
          <w:rFonts w:ascii="Times New Roman" w:hAnsi="Times New Roman" w:cs="Times New Roman"/>
          <w:b w:val="0"/>
          <w:i w:val="0"/>
          <w:sz w:val="24"/>
        </w:rPr>
        <w:t xml:space="preserve">, três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humanos sobre o mesmo modelo congelado obtêm 47,2%, 62,9% e 71,9% de pass@1, uma dispersão de 24,7 pontos percentuais atribuível só ao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>. O estudo da Databricks relatado por Earendil (2026) registra variação superior a 2x no custo por tarefa, sem mudança de qualidade.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Este projeto já mediu o efeito com a linhagem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fixa: na primeira requisição da mesma tarefa, o oh-my-pi, </w:t>
      </w:r>
      <w:r>
        <w:rPr>
          <w:rFonts w:ascii="Times New Roman" w:hAnsi="Times New Roman" w:cs="Times New Roman"/>
          <w:b w:val="0"/>
          <w:i/>
          <w:sz w:val="24"/>
        </w:rPr>
        <w:t>fork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direto do pi, envia 11,4x os bytes do próprio ascendente, 64.945 contra 5.676, antes que o modelo gere um token. Falta medir quanto dessa diferença de carga chega ao resultado final, porque é isso que determina quanto do modelo pago cada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aproveita.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Tema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agentes de codificação: o impacto do projeto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sobre o custo e o desempenho de um modelo de linguagem mantido fixo.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Problema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Mantido fixo o modelo de linguagem, quanto do custo em tokens e da taxa de sucesso de um agente de codificação é determinado pelo projeto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>? E é possível atribuir essa variação a decisões específicas de projeto, em vez de ao conjunto indistinto de diferenças entre implementações independentes?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Hipótese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  <w:i w:val="0"/>
          <w:sz w:val="24"/>
        </w:rPr>
        <w:t>H1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Entre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distintos executando o mesmo modelo, a diferença de custo por tarefa concluída é de ordem prática relevante, comparável à diferença obtida ao se trocar de modelo sob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fixo. H1 é refutada se os intervalos de Succ/Mtok dos braços se sobrepuserem ao longo de toda a suíte.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  <w:i w:val="0"/>
          <w:sz w:val="24"/>
        </w:rPr>
        <w:t>H2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Essa diferença persiste entre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um </w:t>
      </w:r>
      <w:r>
        <w:rPr>
          <w:rFonts w:ascii="Times New Roman" w:hAnsi="Times New Roman" w:cs="Times New Roman"/>
          <w:b w:val="0"/>
          <w:i/>
          <w:sz w:val="24"/>
        </w:rPr>
        <w:t>fork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direto dele, o que indicaria que ela é produzida por decisões de projeto isoláveis (prompt de sistema, número e tamanho dos esquemas de ferramenta, política de compactação de contexto), e não apenas pelo acúmulo de diferenças entre bases de código independentes. H2 é refutada se pi e oh-my-pi não diferirem significativamente em Succ/Mtok, apesar dos 11,4x de diferença na carga da primeira requisição medidos neste projeto. Esse desfecho é possível e seria, ele próprio, um achado a reportar. Uma carga 11,4x maior não implica resultado pior, pois o oh-my-pi pode recuperar o custo concluindo a tarefa em menos passos.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Objetivo geral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Medir, com o modelo de linguagem mantido fixo, o efeito do projeto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sobre o custo em tokens e a taxa de sucesso de agentes de codificação, isolando decisões específicas de projeto por meio da comparação entre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um </w:t>
      </w:r>
      <w:r>
        <w:rPr>
          <w:rFonts w:ascii="Times New Roman" w:hAnsi="Times New Roman" w:cs="Times New Roman"/>
          <w:b w:val="0"/>
          <w:i/>
          <w:sz w:val="24"/>
        </w:rPr>
        <w:t>fork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direto dele.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Objetivos específicos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a) construir um instrumento de medição externo aos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>, capaz de contabilizar de forma idêntica, para todos eles, o número de requisições ao modelo, os tokens de entrada e de saída e a latência por requisição;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b) definir uma suíte de tarefas de programação com objetivos numerados e crédito parcial, acompanhada de um oráculo automatizado independente dos testes produzidos pelo próprio agente;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c) implementar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mínimo de referência, em laço ReAct, como controle científico do experimento;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d) executar a mesma suíte, com o mesmo modelo, em todos os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avaliados, repetindo cada condição e reportando dispersão;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e) repetir o experimento em um segundo modelo, verificando se a ordenação entre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se mantém ou se inverte;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f) quantificar a divergência entre o custo relatado por cada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o custo efetivamente medido no instrumento externo;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g) publicar o </w:t>
      </w:r>
      <w:r>
        <w:rPr>
          <w:rFonts w:ascii="Times New Roman" w:hAnsi="Times New Roman" w:cs="Times New Roman"/>
          <w:b w:val="0"/>
          <w:i/>
          <w:sz w:val="24"/>
        </w:rPr>
        <w:t>runner</w:t>
      </w:r>
      <w:r>
        <w:rPr>
          <w:rFonts w:ascii="Times New Roman" w:hAnsi="Times New Roman" w:cs="Times New Roman"/>
          <w:b w:val="0"/>
          <w:i w:val="0"/>
          <w:sz w:val="24"/>
        </w:rPr>
        <w:t>, os dados brutos e os scripts de análise, de modo que o experimento possa ser reexecutado a custo monetário zero.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Este trabalho segue as normas do curso (IFMT, 2022) e as da ABNT (2023, 2025), e está organizado em seis seções. Esta introdução apresenta a justificativa, o tema, o problema, as hipóteses e os objetivos. A seção 2 posiciona o trabalho na literatura e delimita as pendências que ele se propõe a resolver. A seção 3 descreve o material e o método: classificação da pesquisa, camadas de medição, braços, suíte de tarefas, limites, tratamento estatístico, resultados preliminares do instrumento e limitações. A seção 4 apresenta o orçamento, a seção 5 o cronograma, e a seção 6 reúne as referências.</w:t>
      </w: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2 REFERENCIAL TEÓRICO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Adota-se a definição de Ning et al. (2026): um </w:t>
      </w:r>
      <w:r>
        <w:rPr>
          <w:rFonts w:ascii="Times New Roman" w:hAnsi="Times New Roman" w:cs="Times New Roman"/>
          <w:b w:val="0"/>
          <w:i/>
          <w:sz w:val="24"/>
        </w:rPr>
        <w:t>agent 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é a camada de software que envolve um modelo de linguagem com ferramentas, APIs, </w:t>
      </w:r>
      <w:r>
        <w:rPr>
          <w:rFonts w:ascii="Times New Roman" w:hAnsi="Times New Roman" w:cs="Times New Roman"/>
          <w:b w:val="0"/>
          <w:i/>
          <w:sz w:val="24"/>
        </w:rPr>
        <w:t>sandboxes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memória, validadores, fronteiras de permissão, laços de execução e canais de realimentação, convertendo um modelo sem estado em um agente capaz de executar tarefas de longo horizonte (tradução nossa). Os mesmos autores separam capacidades internas do modelo, infraestrutura de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artefatos de código criados pelo agente; o recorte aqui é o do meio, com as capacidades internas constantes. Os braços vão de um laço ReAct mínimo (Yao et al., 2022) a implementações com planejamento, compactação e subagentes.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interface entre modelo e ambiente é objeto de projeto desde Yang et al. (2024), cuja interface agente-computador sob medida rendeu o estado da arte do SWE-bench à época. O efeito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já está estabelecido na literatura. Lin et al. (2026) medem 24,7 pontos percentuais de dispersão entre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humanos sobre um modelo congelado, contra os 19,7 pontos entre as quatro bases alternativas do mesmo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semente (§ 4.3), dispersões da mesma ordem. Zhang et al. (2026) enunciam a </w:t>
      </w:r>
      <w:r>
        <w:rPr>
          <w:rFonts w:ascii="Times New Roman" w:hAnsi="Times New Roman" w:cs="Times New Roman"/>
          <w:b w:val="0"/>
          <w:i/>
          <w:sz w:val="24"/>
        </w:rPr>
        <w:t>Binding Constraint Thesis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em longo horizonte, 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determina o desempenho mais que o modelo que encapsula. Somam-se duas fontes de prática: o HarnessRank (2026) e o estudo da Databricks relatado por Earendil (2026), com custo por tarefa variando mais de 2x sem mudança de qualidade.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primeira pendência é de atribuição. Toda comparação publicada contrasta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equipes diferentes sobre fundações diferentes, e a dispersão medida agrega prompt, ferramentas, gestão de contexto e desenho do laço sem separá-los. Ning et al. (2026) nomeiam a lacuna em §5.2.1, onde as métricas de sucesso final confundem modelo e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 pedem em §5.2.7 métricas que isolem componentes. O par pi / oh-my-pi responde a §5.2.7: um </w:t>
      </w:r>
      <w:r>
        <w:rPr>
          <w:rFonts w:ascii="Times New Roman" w:hAnsi="Times New Roman" w:cs="Times New Roman"/>
          <w:b w:val="0"/>
          <w:i/>
          <w:sz w:val="24"/>
        </w:rPr>
        <w:t>fork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direto mantém a linhagem fixa e faz variar apenas as modificações.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segunda pendência é de instrumentação. O que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relata sobre o próprio custo diverge do que ele gasta, e cada um omite do relatório um conjunto diferente de chamadas reais ao modelo. Kapoor et al. (2024) mostram que a avaliação de agentes ignora o custo e por isso erra sobre a origem dos ganhos, e Kapoor et al. (2025) registram que as avaliações raramente relatam custo e que comparações entre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são raras. Por isso a medição ocorre em proxy externo, e o objetivo (f) quantifica essa divergência.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métrica primária é o Succ/Mtok (sucesso por milhão de tokens), de Lin et al. (2026). Sobre ela pesa uma ressalva permanente. O efeito é específico do modelo e pode inverter de sinal. No </w:t>
      </w:r>
      <w:r>
        <w:rPr>
          <w:rFonts w:ascii="Times New Roman" w:hAnsi="Times New Roman" w:cs="Times New Roman"/>
          <w:b w:val="0"/>
          <w:i/>
          <w:sz w:val="24"/>
        </w:rPr>
        <w:t>Holistic Agent Leaderboard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os modelos da Anthropic vão melhor com o BrowserUse e os da OpenAI com o SeeAct sobre o mesmo </w:t>
      </w:r>
      <w:r>
        <w:rPr>
          <w:rFonts w:ascii="Times New Roman" w:hAnsi="Times New Roman" w:cs="Times New Roman"/>
          <w:b w:val="0"/>
          <w:i/>
          <w:sz w:val="24"/>
        </w:rPr>
        <w:t>benchmark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(Kapoor et al., 2025). Por isso o desenho carrega dois níveis, e as conclusões são enunciadas por nível.</w:t>
      </w: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3 MATERIAL E MÉTODO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Quanto à finalidade, esta é uma pesquisa </w:t>
      </w:r>
      <w:r>
        <w:rPr>
          <w:rFonts w:ascii="Times New Roman" w:hAnsi="Times New Roman" w:cs="Times New Roman"/>
          <w:b/>
          <w:i w:val="0"/>
          <w:sz w:val="24"/>
        </w:rPr>
        <w:t>aplicada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seu produto é uma decisão de engenharia que um desenvolvedor pode tomar hoje. Quanto à abordagem, é </w:t>
      </w:r>
      <w:r>
        <w:rPr>
          <w:rFonts w:ascii="Times New Roman" w:hAnsi="Times New Roman" w:cs="Times New Roman"/>
          <w:b/>
          <w:i w:val="0"/>
          <w:sz w:val="24"/>
        </w:rPr>
        <w:t>quali-quantitativa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as medidas de custo e de sucesso são quantitativas, e a atribuição de cada diferença a uma decisão de projeto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é qualitativa. Quanto aos objetivos, é </w:t>
      </w:r>
      <w:r>
        <w:rPr>
          <w:rFonts w:ascii="Times New Roman" w:hAnsi="Times New Roman" w:cs="Times New Roman"/>
          <w:b/>
          <w:i w:val="0"/>
          <w:sz w:val="24"/>
        </w:rPr>
        <w:t>exploratória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porque a comparação com linhagem de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fixa não tem precedente publicado. Quanto aos procedimentos, é </w:t>
      </w:r>
      <w:r>
        <w:rPr>
          <w:rFonts w:ascii="Times New Roman" w:hAnsi="Times New Roman" w:cs="Times New Roman"/>
          <w:b/>
          <w:i w:val="0"/>
          <w:sz w:val="24"/>
        </w:rPr>
        <w:t>experimental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há variável independente manipulada (o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>), variáveis controladas (modelo, tarefa e limites) e um grupo de controle (Gil, 2022; Prodanov; Freitas, 2013).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medição ocorre em duas camadas, cada uma relatada em separado. A Camada 1 mede a forma da requisição contra um endpoint simulado que não encaminha nada ao modelo: não consome cota, é determinística e nomeia o mecanismo. A Camada 2 mede o desfecho das tarefas contra o modelo real: consome cota, é estocástica e mostra o efeito.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que envia 11,4x os bytes não é, por isso, 11,4x pior.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conjunto de braços é provisório até o fechamento das verificações de confiabilidade. São 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zero, o conjunto de implementações de terceiros e o par de destaque pi / oh-my-pi. O executor não traz adaptador para pi nem para oh-my-pi (Datacurve, 2026); os dois, e 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zero, são escritos neste projeto. 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zero é o controle científico e o único braço que este projeto escreve: um laço observar/agir com três ferramentas (leitura de arquivo, escrita de arquivo e execução de comandos). Não tem planejamento, compactação de contexto, repetição automática de requisições nem qualquer chamada auxiliar ao modelo, e é mantido abaixo de 400 linhas de Python por um portão de integração contínua. Ele mede quanto qualquer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acrescenta sobre o laço mais cru capaz de concluir a tarefa.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suíte é composta por 8 tarefas Python do DeepSWE (Huang et al., 2026), congeladas na adoção e fixadas por </w:t>
      </w:r>
      <w:r>
        <w:rPr>
          <w:rFonts w:ascii="Times New Roman" w:hAnsi="Times New Roman" w:cs="Times New Roman"/>
          <w:b w:val="0"/>
          <w:i/>
          <w:sz w:val="24"/>
        </w:rPr>
        <w:t>commit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por </w:t>
      </w:r>
      <w:r>
        <w:rPr>
          <w:rFonts w:ascii="Times New Roman" w:hAnsi="Times New Roman" w:cs="Times New Roman"/>
          <w:b w:val="0"/>
          <w:i/>
          <w:sz w:val="24"/>
        </w:rPr>
        <w:t>hash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SHA-256 de cada tarefa. São tarefas de implementação de longo horizonte sobre repositórios reais: o </w:t>
      </w:r>
      <w:r>
        <w:rPr>
          <w:rFonts w:ascii="Times New Roman" w:hAnsi="Times New Roman" w:cs="Times New Roman"/>
          <w:b w:val="0"/>
          <w:i/>
          <w:sz w:val="24"/>
        </w:rPr>
        <w:t>benchmark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completo tem 113 tarefas sobre 91 repositórios, com soluções de referência que tocam cerca de 5,5x mais código que as do SWE-Bench Pro, outra ordem de grandeza ante o SWE-bench (Jimenez et al., 2023). A pontuação adotada aqui é o crédito parcial, a fração de testes aprovados do verificador de cada tarefa. É uma adaptação, porque o DeepSWE grada de forma binária e declara a ausência de crédito parcial como limitação (Huang et al., 2026, §8); sem ela, um escore binário tenderia a ler zero para todos os braços neste nível de modelo [A VERIFICAR nas tarefas-piloto].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São dois níveis de modelo, um primário e um de robustez, ambos gratuitos e no mesmo gateway (Opencode, 2026) e relatados em separado. O segundo existe porque o efeito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é específico do modelo. Se a ordenação entre braços se inverter entre os níveis, a inversão é o resultado.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instrumento de medição é um proxy reverso interposto entre cada braço e o gateway, que força a emissão do relatório de uso em cada requisição. Os tokens são contados no proxy, sobre os bytes efetivamente transmitidos, com um único tokenizador divulgado para todos os braços e níveis. A contagem vem do proxy, e não do relatório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nem do gateway, que inclui conteúdo injetado que nenhum braço enviou. Esse deslocamento aditivo por requisição não se cancela em uma razão e cobraria de cada braço um excedente proporcional ao número de passos, que é um dos comportamentos sob teste. As contagens do gateway permanecem registradas para verificação cruzada e para o cálculo de custo, e a divergência entre elas e as do proxy é reportada por braço.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Um único limite é imposto, idêntico para todos os braços. É um relógio de parede, cujo valor será três vezes a mediana que 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zero gastar nas tarefas-piloto [A MEDIR — #39]. O número de passos não é limitado, porque um teto de passos é ele próprio uma decisão de projeto de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apagaria a diferença sob teste. O comprimento máximo de saída é forçado idêntico pelo proxy. Os parâmetros de amostragem são registrados e relatados, mas não normalizados, já que o gateway os aceita sem os honrar, e Miller (2024) desaconselha mexer na temperatura para reduzir variância. O isolamento de ambiente é verificado por um portão que falha fechado.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Cada célula do experimento, a tripla (braço, tarefa, nível), recebe n ≥ 3 execuções completas, contadas após os descartes, na função redutora de variância que Miller (2024) atribui à reamostragem. Os resultados saem como mediana com dispersão, já que requisições byte-idênticas variam materialmente em tokens de saída neste nível gratuito. Quando a cota não comportar a matriz, reduz-se a cobertura antes das repetições, já que a variância é a principal ameaça ao desenho.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comparação é pareada por tarefa e usa o teste de Wilcoxon dos postos sinalizados sobre o Succ/Mtok por tarefa, bilateral, com α = 0,05. O teste é não paramétrico porque oito pares não sustentam suposição distribucional, e pareado porque a dificuldade da tarefa é o maior fator de perturbação do desenho, que é o que Miller (2024) recomenda ao preferir a diferença pareada por questão à média agregada. Com n = 3 e 8 tarefas, a diferença mínima detectável é de cerca de 0,81σ. As predições são pré-registradas por nível de modelo, e um resultado nulo para H2 é um achado reportável.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Cada execução recebe exatamente uma classe. Aquela cujo agente não cumpriu a tarefa é um resultado, entra na estatística e recebe escore zero; nesse grupo, o estouro do relógio de parede conta como resultado, já que repetir converteria uma indisponibilidade do serviço em diferença aparente entre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>. Aquela cuja medição é inconfiável é descartada e registrada como tal, sem reparo nem repetição. A classificação vem do registro do proxy, e não do código de saída, que não discrimina desfecho.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Resultados preliminares do instrumento (Camada 1)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instrumento da Camada 1 está construído e executado, com os dados brutos no repositório do projeto, cuja abertura é o objetivo (g) (YuukiFST, 2026). Na primeira requisição da tarefa </w:t>
      </w:r>
      <w:r>
        <w:rPr>
          <w:rFonts w:ascii="Times New Roman" w:hAnsi="Times New Roman" w:cs="Times New Roman"/>
          <w:b w:val="0"/>
          <w:i/>
          <w:sz w:val="24"/>
        </w:rPr>
        <w:t>probe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em ambiente isolado, medida em 28 de agosto de 2026, os braços diferem por uma ordem de grandeza antes que o modelo gere qualquer token (Tabela 1): com a linhagem mantida fixa, o oh-my-pi envia 11,4x os bytes totais do pi, 13,5x os bytes de esquemas de ferramenta, 10,2x os de prompt de sistema, 2,75x o número de esquemas e 13,6x os tokens. Uma medição anterior, com código independente e prompt diferente, obtivera 10,8x. A mesma execução produziu outros dois achados. Os três braços reenviam o histórico completo a cada passo, com incremento constante de 555, 625 e 698 bytes (pi, oh-my-pi e OpenCode), sem compactar nem truncar em cinco passos. Além do custo, Liu et al. (2023) medem queda de desempenho quando a informação relevante fica no meio de um contexto longo. O OpenCode gasta por sessão uma chamada auxiliar de 2.526 bytes que seria cobrada em um nível pago e não aparece no seu próprio relatório, divergência que o objetivo (f) quantifica. O delta de estado ambiente do pi nesta máquina é de 0 bytes, propriedade da máquina tanto quanto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>, a ser remedida onde o experimento correrá.</w:t>
      </w:r>
    </w:p>
    <w:p>
      <w:pPr>
        <w:keepNext/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Tabela 1 – Primeira requisição por braço, perfil isolado, tarefa probe (28 ago. 2026)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Braço</w:t>
            </w:r>
          </w:p>
        </w:tc>
        <w:tc>
          <w:tcPr>
            <w:tcW w:type="dxa" w:w="153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Esquemas de ferramenta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Bytes de ferramentas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Bytes de system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Bytes totais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Tokens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oh-my-pi 17.2.10</w:t>
            </w:r>
          </w:p>
        </w:tc>
        <w:tc>
          <w:tcPr>
            <w:tcW w:type="dxa" w:w="153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11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39.273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25.395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64.945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16.714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opencode 1.17.9</w:t>
            </w:r>
          </w:p>
        </w:tc>
        <w:tc>
          <w:tcPr>
            <w:tcW w:type="dxa" w:w="153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20.007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9.738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29.997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6.659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pi 0.80.10</w:t>
            </w:r>
          </w:p>
        </w:tc>
        <w:tc>
          <w:tcPr>
            <w:tcW w:type="dxa" w:w="153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2.900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2.499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5.676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1.228</w:t>
            </w:r>
          </w:p>
        </w:tc>
      </w:tr>
    </w:tbl>
    <w:p>
      <w:pPr>
        <w:keepNext w:val="0"/>
        <w:spacing w:line="240" w:lineRule="auto" w:before="40" w:after="12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Fonte: elaborado pelo autor (2026).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Limitações e ameaças à validade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Cinco limitações são declaradas de partida. O efeito de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é específico do modelo e pode inverter de sinal, o que restringe qualquer conclusão ao nível de modelo em que foi obtida; o objetivo (e) existe para testar isso. A transferência para modelos pequenos fica deliberadamente em aberto e é registrada como trabalho futuro, porque o único modelo pequeno viável havia sido treinado dentro de um dos braços, o que invalidaria a medição de destaque em vez de apenas limitá-la. Os valores absolutos não são comparáveis ao placar público do DeepSWE, porque toda linha de base publicada usa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ferramenta única; a comparação aqui é entre os próprios braços. O custo em dinheiro é um contrafactual de ordem de grandeza sobre tarifas pagas publicadas, rotulado como tal onde apareça. Por fim, os resultados preliminares da Camada 1 valem para uma tarefa, uma máquina e três braços, já que o controle ainda não figura na tabela, e a Camada 2 ainda não produziu resultado algum.</w:t>
      </w: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4 ORÇAMENTO</w:t>
      </w:r>
    </w:p>
    <w:p>
      <w:pPr>
        <w:keepNext/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Tabela 2 – Orçamento do projeto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6520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Item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Custo</w:t>
            </w:r>
          </w:p>
        </w:tc>
      </w:tr>
      <w:tr>
        <w:tc>
          <w:tcPr>
            <w:tcW w:type="dxa" w:w="6520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Inferência dos modelos (dois níveis, nível gratuito do gateway)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R$ 0,00</w:t>
            </w:r>
          </w:p>
        </w:tc>
      </w:tr>
      <w:tr>
        <w:tc>
          <w:tcPr>
            <w:tcW w:type="dxa" w:w="6520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Executor e benchmark (Pier e DeepSWE, licença Apache-2.0)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R$ 0,00</w:t>
            </w:r>
          </w:p>
        </w:tc>
      </w:tr>
      <w:tr>
        <w:tc>
          <w:tcPr>
            <w:tcW w:type="dxa" w:w="6520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Máquinas (estação pessoal NixOS e estação pessoal Windows)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R$ 0,00 — já disponíveis</w:t>
            </w:r>
          </w:p>
        </w:tc>
      </w:tr>
      <w:tr>
        <w:tc>
          <w:tcPr>
            <w:tcW w:type="dxa" w:w="6520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Total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R$ 0,00</w:t>
            </w:r>
          </w:p>
        </w:tc>
      </w:tr>
    </w:tbl>
    <w:p>
      <w:pPr>
        <w:keepNext w:val="0"/>
        <w:spacing w:line="240" w:lineRule="auto" w:before="40" w:after="12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Fonte: elaborado pelo autor (2026).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 total em dinheiro é zero, e o limite que restringe o experimento é a cota: cerca de 10 requisições a cada 6 minutos, medidas neste projeto, contra o número de requisições que uma tarefa do DeepSWE consome [A MEDIR — tarefas-piloto]. Por isso a matriz é executada em lotes distribuídos ao longo de dias, e o custo monetário aparece apenas como contrafactual de ordem de grandeza sobre as tarifas pagas publicadas. O executor roda em docker ou modal, e este projeto usa docker (Datacurve, 2026); a GPU da estação é irrelevante para todo resultado reportado.</w:t>
      </w: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5 CRONOGRAMA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cadência é de um lote da matriz por dia, porque a cota gratuita é o limite vinculante, e por isso o calendário se estende por semanas. A folga está concentrada na execução da matriz e nos portões de confiabilidade dos braços, onde está o risco. Os meses são numerados de forma relativa porque a data de entrega ainda não está confirmada: [A DEFINIR — #7].</w:t>
      </w:r>
    </w:p>
    <w:p>
      <w:pPr>
        <w:keepNext/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Tabela 3 – Cronograma de execução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FASES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MÊS 1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MÊS 2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MÊS 3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MÊS 4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MÊS 5</w:t>
            </w:r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LEITURA E LEVANTAMENTO BIBLIOGRÁFICO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DEFINIÇÃO DO TEMA, DO PROBLEMA E DAS HIPÓTESES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CONSTRUÇÃO DO INSTRUMENTO E DO HARNESS ZERO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ESCREVENDO INTRODUÇÃO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ESCREVENDO REFERENCIAL TEÓRICO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ESCREVENDO MATERIAL E MÉTODO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EXECUÇÃO DA MATRIZ DE EXPERIMENTOS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ANÁLISE DOS RESULTADOS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ELABORANDO AS REFERÊNCIAS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REVISÃO FINAL E PREPARAÇÃO DA APRESENTAÇÃO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</w:tr>
    </w:tbl>
    <w:p>
      <w:pPr>
        <w:keepNext w:val="0"/>
        <w:spacing w:line="240" w:lineRule="auto" w:before="40" w:after="12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Fonte: elaborado pelo autor (2026).</w:t>
      </w: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6 REFERÊNCIAS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ASSOCIAÇÃO BRASILEIRA DE NORMAS TÉCNICAS. </w:t>
      </w:r>
      <w:r>
        <w:rPr>
          <w:rFonts w:ascii="Times New Roman" w:hAnsi="Times New Roman" w:cs="Times New Roman"/>
          <w:b/>
          <w:i w:val="0"/>
          <w:sz w:val="24"/>
        </w:rPr>
        <w:t>NBR 6023</w:t>
      </w:r>
      <w:r>
        <w:rPr>
          <w:rFonts w:ascii="Times New Roman" w:hAnsi="Times New Roman" w:cs="Times New Roman"/>
          <w:b w:val="0"/>
          <w:i w:val="0"/>
          <w:sz w:val="24"/>
        </w:rPr>
        <w:t>: informação e documentação — referências — elaboração. 3. ed. Rio de Janeiro: ABNT, 2025.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ASSOCIAÇÃO BRASILEIRA DE NORMAS TÉCNICAS. </w:t>
      </w:r>
      <w:r>
        <w:rPr>
          <w:rFonts w:ascii="Times New Roman" w:hAnsi="Times New Roman" w:cs="Times New Roman"/>
          <w:b/>
          <w:i w:val="0"/>
          <w:sz w:val="24"/>
        </w:rPr>
        <w:t>NBR 10520</w:t>
      </w:r>
      <w:r>
        <w:rPr>
          <w:rFonts w:ascii="Times New Roman" w:hAnsi="Times New Roman" w:cs="Times New Roman"/>
          <w:b w:val="0"/>
          <w:i w:val="0"/>
          <w:sz w:val="24"/>
        </w:rPr>
        <w:t>: informação e documentação — citações em documentos — apresentação. Rio de Janeiro: ABNT, 2023.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DATACURVE. </w:t>
      </w:r>
      <w:r>
        <w:rPr>
          <w:rFonts w:ascii="Times New Roman" w:hAnsi="Times New Roman" w:cs="Times New Roman"/>
          <w:b/>
          <w:i w:val="0"/>
          <w:sz w:val="24"/>
        </w:rPr>
        <w:t>Pier</w:t>
      </w:r>
      <w:r>
        <w:rPr>
          <w:rFonts w:ascii="Times New Roman" w:hAnsi="Times New Roman" w:cs="Times New Roman"/>
          <w:b w:val="0"/>
          <w:i w:val="0"/>
          <w:sz w:val="24"/>
        </w:rPr>
        <w:t>: a Harbor fork built for DeepSWE. 2026. Repositório de código. Disponível em: https://github.com/datacurve-ai/pier.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EARENDIL. </w:t>
      </w:r>
      <w:r>
        <w:rPr>
          <w:rFonts w:ascii="Times New Roman" w:hAnsi="Times New Roman" w:cs="Times New Roman"/>
          <w:b/>
          <w:i w:val="0"/>
          <w:sz w:val="24"/>
        </w:rPr>
        <w:t>Pi, minimal and performant</w:t>
      </w:r>
      <w:r>
        <w:rPr>
          <w:rFonts w:ascii="Times New Roman" w:hAnsi="Times New Roman" w:cs="Times New Roman"/>
          <w:b w:val="0"/>
          <w:i w:val="0"/>
          <w:sz w:val="24"/>
        </w:rPr>
        <w:t>. 2026. Publicação de blogue institucional. Disponível em: https://earendil.com/posts/pi-autoresearch-and-databricks/.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GIL, Antonio Carlos. </w:t>
      </w:r>
      <w:r>
        <w:rPr>
          <w:rFonts w:ascii="Times New Roman" w:hAnsi="Times New Roman" w:cs="Times New Roman"/>
          <w:b/>
          <w:i w:val="0"/>
          <w:sz w:val="24"/>
        </w:rPr>
        <w:t>Como elaborar projetos de pesquisa</w:t>
      </w:r>
      <w:r>
        <w:rPr>
          <w:rFonts w:ascii="Times New Roman" w:hAnsi="Times New Roman" w:cs="Times New Roman"/>
          <w:b w:val="0"/>
          <w:i w:val="0"/>
          <w:sz w:val="24"/>
        </w:rPr>
        <w:t>. 7. ed. São Paulo: Atlas, 2022.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HARNESSRANK. </w:t>
      </w:r>
      <w:r>
        <w:rPr>
          <w:rFonts w:ascii="Times New Roman" w:hAnsi="Times New Roman" w:cs="Times New Roman"/>
          <w:b/>
          <w:i w:val="0"/>
          <w:sz w:val="24"/>
        </w:rPr>
        <w:t>HarnessRank</w:t>
      </w:r>
      <w:r>
        <w:rPr>
          <w:rFonts w:ascii="Times New Roman" w:hAnsi="Times New Roman" w:cs="Times New Roman"/>
          <w:b w:val="0"/>
          <w:i w:val="0"/>
          <w:sz w:val="24"/>
        </w:rPr>
        <w:t>: coding-agent harness rankings. 2026. Disponível em: https://harnessrank.net/.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HUANG, Wenqi; LEE, Charley; TNG, Leonard; GE, Serena. </w:t>
      </w:r>
      <w:r>
        <w:rPr>
          <w:rFonts w:ascii="Times New Roman" w:hAnsi="Times New Roman" w:cs="Times New Roman"/>
          <w:b/>
          <w:i w:val="0"/>
          <w:sz w:val="24"/>
        </w:rPr>
        <w:t>DeepSWE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measuring frontier coding agents on original, long-horizon engineering tasks. arXiv:2607.07946, 2026.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https://arxiv.org/abs/2607.07946.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INSTITUTO FEDERAL DE EDUCAÇÃO, CIÊNCIA E TECNOLOGIA DE MATO GROSSO. </w:t>
      </w:r>
      <w:r>
        <w:rPr>
          <w:rFonts w:ascii="Times New Roman" w:hAnsi="Times New Roman" w:cs="Times New Roman"/>
          <w:b/>
          <w:i w:val="0"/>
          <w:sz w:val="24"/>
        </w:rPr>
        <w:t>Normas básicas e padrões para a elaboração do Projeto de Conclusão de Curso (PCC)</w:t>
      </w:r>
      <w:r>
        <w:rPr>
          <w:rFonts w:ascii="Times New Roman" w:hAnsi="Times New Roman" w:cs="Times New Roman"/>
          <w:b w:val="0"/>
          <w:i w:val="0"/>
          <w:sz w:val="24"/>
        </w:rPr>
        <w:t>. Cuiabá: Campus Octayde Jorge da Silva, Departamento de Área de Informática, 2022.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JIMENEZ, Carlos E.; YANG, John; WETTIG, Alexander; YAO, Shunyu; PEI, Kexin; PRESS, Ofir; NARASIMHAN, Karthik. </w:t>
      </w:r>
      <w:r>
        <w:rPr>
          <w:rFonts w:ascii="Times New Roman" w:hAnsi="Times New Roman" w:cs="Times New Roman"/>
          <w:b/>
          <w:i w:val="0"/>
          <w:sz w:val="24"/>
        </w:rPr>
        <w:t>SWE-bench</w:t>
      </w:r>
      <w:r>
        <w:rPr>
          <w:rFonts w:ascii="Times New Roman" w:hAnsi="Times New Roman" w:cs="Times New Roman"/>
          <w:b w:val="0"/>
          <w:i w:val="0"/>
          <w:sz w:val="24"/>
        </w:rPr>
        <w:t>: can language models resolve real-world GitHub issues? arXiv:2310.06770, 2023. Trabalho apresentado na International Conference on Learning Representations (ICLR), 2024. Disponível em: https://arxiv.org/abs/2310.06770.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KAPOOR, Sayash; STROEBL, Benedikt; SIEGEL, Zachary S.; NADGIR, Nitya; NARAYANAN, Arvind. </w:t>
      </w:r>
      <w:r>
        <w:rPr>
          <w:rFonts w:ascii="Times New Roman" w:hAnsi="Times New Roman" w:cs="Times New Roman"/>
          <w:b/>
          <w:i w:val="0"/>
          <w:sz w:val="24"/>
        </w:rPr>
        <w:t>AI agents that matter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arXiv:2407.01502, 2024.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https://arxiv.org/abs/2407.01502.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KAPOOR, Sayash; STROEBL, Benedikt; KIRGIS, Peter; NADGIR, Nitya; SIEGEL, Zachary S. et al. </w:t>
      </w:r>
      <w:r>
        <w:rPr>
          <w:rFonts w:ascii="Times New Roman" w:hAnsi="Times New Roman" w:cs="Times New Roman"/>
          <w:b/>
          <w:i w:val="0"/>
          <w:sz w:val="24"/>
        </w:rPr>
        <w:t>Holistic Agent Leaderboard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the missing infrastructure for AI agent evaluation. arXiv:2510.11977, 2025.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https://arxiv.org/abs/2510.11977.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LIN, Jiahang; LIU, Shichun; PAN, Chengjun; LIN, Lizhi; DOU, Shihan; XI, Zhiheng; HUANG, Xuanjing; YAN, Hang; HAN, Zhenhua; GUI, Tao; JIANG, Yu-Gang. </w:t>
      </w:r>
      <w:r>
        <w:rPr>
          <w:rFonts w:ascii="Times New Roman" w:hAnsi="Times New Roman" w:cs="Times New Roman"/>
          <w:b/>
          <w:i w:val="0"/>
          <w:sz w:val="24"/>
        </w:rPr>
        <w:t>Agentic harness engineering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observability-driven automatic evolution of coding-agent harnesses. arXiv:2604.25850, 2026.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https://arxiv.org/abs/2604.25850.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LIU, Nelson F.; LIN, Kevin; HEWITT, John; PARANJAPE, Ashwin; BEVILACQUA, Michele; PETRONI, Fabio; LIANG, Percy. </w:t>
      </w:r>
      <w:r>
        <w:rPr>
          <w:rFonts w:ascii="Times New Roman" w:hAnsi="Times New Roman" w:cs="Times New Roman"/>
          <w:b/>
          <w:i w:val="0"/>
          <w:sz w:val="24"/>
        </w:rPr>
        <w:t>Lost in the middle</w:t>
      </w:r>
      <w:r>
        <w:rPr>
          <w:rFonts w:ascii="Times New Roman" w:hAnsi="Times New Roman" w:cs="Times New Roman"/>
          <w:b w:val="0"/>
          <w:i w:val="0"/>
          <w:sz w:val="24"/>
        </w:rPr>
        <w:t>: how language models use long contexts. arXiv:2307.03172, 2023. Publicado em Transactions of the Association for Computational Linguistics (TACL). Disponível em: https://arxiv.org/abs/2307.03172.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MILLER, Evan. </w:t>
      </w:r>
      <w:r>
        <w:rPr>
          <w:rFonts w:ascii="Times New Roman" w:hAnsi="Times New Roman" w:cs="Times New Roman"/>
          <w:b/>
          <w:i w:val="0"/>
          <w:sz w:val="24"/>
        </w:rPr>
        <w:t>Adding error bars to evals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a statistical approach to language model evaluations. arXiv:2411.00640, 2024.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https://arxiv.org/abs/2411.00640.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NING, Xuying; TIEU, Katherine; FU, Dongqi; WEI, Tianxin; LI, Zihao et al. </w:t>
      </w:r>
      <w:r>
        <w:rPr>
          <w:rFonts w:ascii="Times New Roman" w:hAnsi="Times New Roman" w:cs="Times New Roman"/>
          <w:b/>
          <w:i w:val="0"/>
          <w:sz w:val="24"/>
        </w:rPr>
        <w:t>Code as agent 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arXiv:2605.18747, 2026.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https://arxiv.org/abs/2605.18747.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OPENCODE. </w:t>
      </w:r>
      <w:r>
        <w:rPr>
          <w:rFonts w:ascii="Times New Roman" w:hAnsi="Times New Roman" w:cs="Times New Roman"/>
          <w:b/>
          <w:i w:val="0"/>
          <w:sz w:val="24"/>
        </w:rPr>
        <w:t>Zen</w:t>
      </w:r>
      <w:r>
        <w:rPr>
          <w:rFonts w:ascii="Times New Roman" w:hAnsi="Times New Roman" w:cs="Times New Roman"/>
          <w:b w:val="0"/>
          <w:i w:val="0"/>
          <w:sz w:val="24"/>
        </w:rPr>
        <w:t>. 2026. Documentação do produto. Disponível em: https://opencode.ai/docs/zen/.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PRODANOV, Cleber Cristiano; FREITAS, Ernani Cesar de. </w:t>
      </w:r>
      <w:r>
        <w:rPr>
          <w:rFonts w:ascii="Times New Roman" w:hAnsi="Times New Roman" w:cs="Times New Roman"/>
          <w:b/>
          <w:i w:val="0"/>
          <w:sz w:val="24"/>
        </w:rPr>
        <w:t>Metodologia do trabalho científico</w:t>
      </w:r>
      <w:r>
        <w:rPr>
          <w:rFonts w:ascii="Times New Roman" w:hAnsi="Times New Roman" w:cs="Times New Roman"/>
          <w:b w:val="0"/>
          <w:i w:val="0"/>
          <w:sz w:val="24"/>
        </w:rPr>
        <w:t>: métodos e técnicas da pesquisa e do trabalho acadêmico. 2. ed. Novo Hamburgo: Feevale, 2013. Disponível em: https://www.feevale.br/Comum/midias/0163c988-1f5d-496f-b118-a6e009a7a2f9/E-book%20Metodologia%20do%20Trabalho%20Cientifico.pdf.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YANG, John; JIMENEZ, Carlos E.; WETTIG, Alexander; LIERET, Kilian; YAO, Shunyu; NARASIMHAN, Karthik; PRESS, Ofir. </w:t>
      </w:r>
      <w:r>
        <w:rPr>
          <w:rFonts w:ascii="Times New Roman" w:hAnsi="Times New Roman" w:cs="Times New Roman"/>
          <w:b/>
          <w:i w:val="0"/>
          <w:sz w:val="24"/>
        </w:rPr>
        <w:t>SWE-agent</w:t>
      </w:r>
      <w:r>
        <w:rPr>
          <w:rFonts w:ascii="Times New Roman" w:hAnsi="Times New Roman" w:cs="Times New Roman"/>
          <w:b w:val="0"/>
          <w:i w:val="0"/>
          <w:sz w:val="24"/>
        </w:rPr>
        <w:t>: agent-computer interfaces enable automated software engineering. arXiv:2405.15793, 2024. Trabalho apresentado na Conference on Neural Information Processing Systems (NeurIPS), 2024. Disponível em: https://arxiv.org/abs/2405.15793.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YAO, Shunyu; ZHAO, Jeffrey; YU, Dian; DU, Nan; SHAFRAN, Izhak; NARASIMHAN, Karthik; CAO, Yuan. </w:t>
      </w:r>
      <w:r>
        <w:rPr>
          <w:rFonts w:ascii="Times New Roman" w:hAnsi="Times New Roman" w:cs="Times New Roman"/>
          <w:b/>
          <w:i w:val="0"/>
          <w:sz w:val="24"/>
        </w:rPr>
        <w:t>ReAct</w:t>
      </w:r>
      <w:r>
        <w:rPr>
          <w:rFonts w:ascii="Times New Roman" w:hAnsi="Times New Roman" w:cs="Times New Roman"/>
          <w:b w:val="0"/>
          <w:i w:val="0"/>
          <w:sz w:val="24"/>
        </w:rPr>
        <w:t>: synergizing reasoning and acting in language models. arXiv:2210.03629, 2022. Trabalho apresentado na International Conference on Learning Representations (ICLR), 2023. Disponível em: https://arxiv.org/abs/2210.03629.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YUUKIFST. </w:t>
      </w:r>
      <w:r>
        <w:rPr>
          <w:rFonts w:ascii="Times New Roman" w:hAnsi="Times New Roman" w:cs="Times New Roman"/>
          <w:b/>
          <w:i w:val="0"/>
          <w:sz w:val="24"/>
        </w:rPr>
        <w:t>harness-bench</w:t>
      </w:r>
      <w:r>
        <w:rPr>
          <w:rFonts w:ascii="Times New Roman" w:hAnsi="Times New Roman" w:cs="Times New Roman"/>
          <w:b w:val="0"/>
          <w:i w:val="0"/>
          <w:sz w:val="24"/>
        </w:rPr>
        <w:t>: runner, dados brutos e scripts de análise deste projeto. 2026. Repositório de código. Disponível em: https://github.com/YuukiFST/harness-bench.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ZHANG, Yunbei; WANG, Janet; GE, Yingqiang; XU, Weijie; HAMM, Jihun; REDDY, Chandan K. </w:t>
      </w:r>
      <w:r>
        <w:rPr>
          <w:rFonts w:ascii="Times New Roman" w:hAnsi="Times New Roman" w:cs="Times New Roman"/>
          <w:b/>
          <w:i w:val="0"/>
          <w:sz w:val="24"/>
        </w:rPr>
        <w:t>Stop comparing LLM agents without disclosing the 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arXiv:2605.23950, 2026.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https://arxiv.org/abs/2605.23950. Acesso em: 28 ago. 2026.</w:t>
      </w:r>
    </w:p>
    <w:sectPr w:rsidR="00FC693F" w:rsidRPr="0006063C" w:rsidSect="00034616">
      <w:headerReference w:type="default" r:id="rId9"/>
      <w:pgSz w:w="11906" w:h="16838"/>
      <w:pgMar w:top="1701" w:right="1134" w:bottom="1134" w:left="1701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2">
    <w:p>
      <!-- CT_PPrBase is an xsd:sequence: w:spacing (21) precedes w:jc (26).
           This part is hand-built, so python-docx's ordered inserters never run
           and a wrong order reaches Word as "unreadable content". -->
      <w:pPr>
        <w:spacing w:after="0" w:line="240" w:lineRule="auto"/>
        <w:jc w:val="both"/>
      </w:pPr>
      <w:r>
        <w:rPr>
          <w:rFonts w:ascii="Times New Roman" w:hAnsi="Times New Roman" w:cs="Times New Roman"/>
          <w:sz w:val="20"/>
          <w:vertAlign w:val="superscript"/>
        </w:rPr>
        <w:footnoteRef/>
      </w:r>
      <w:r>
        <w:rPr>
          <w:rFonts w:ascii="Times New Roman" w:hAnsi="Times New Roman" w:cs="Times New Roman"/>
          <w:sz w:val="20"/>
        </w:rPr>
        <w:t xml:space="preserve"> Os exemplos de referência do template departamental (Instituto Federal de Mato Grosso, 2022) precedem as edições vigentes da NBR 6023 e da NBR 10520, e o template diverge de si mesmo ao alternar entre “Acesso em:” e “Acessado em:” e ao envolver endereços eletrônicos em colchetes angulares. Onde há contradição interna, seguiu-se a edição vigente: NBR 6023:2025 na lista de referências, sem colchetes angulares e com “Acesso em:” em todas as entradas, e NBR 10520:2023 nas citações do corpo do texto, com o sobrenome em caixa-alta apenas na lista de referências.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cs="Times New Roman"/>
        <w:b w:val="0"/>
        <w:i w:val="0"/>
        <w:sz w:val="24"/>
      </w:rPr>
      <w:fldChar w:fldCharType="begin"/>
      <w:instrText xml:space="preserve"> PAGE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