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16cid w16 w16cex wp14">
  <w:body>
    <w:p w:rsidR="00154BDC" w:rsidRDefault="00893410">
      <w:pPr>
        <w:spacing w:after="0" w:line="240" w:lineRule="auto"/>
        <w:jc w:val="center"/>
      </w:pPr>
      <w:r>
        <w:rPr>
          <w:b/>
        </w:rPr>
        <w:t>INSTITUTO FEDERAL DE EDUCAÇÃO, CIÊNCIA E TECNOLOGIA</w:t>
      </w:r>
    </w:p>
    <w:p w:rsidR="00154BDC" w:rsidRDefault="00893410">
      <w:pPr>
        <w:spacing w:after="0" w:line="240" w:lineRule="auto"/>
        <w:jc w:val="center"/>
      </w:pPr>
      <w:r>
        <w:rPr>
          <w:b/>
        </w:rPr>
        <w:t>DE MATO GROSSO - CAMPUS OCTAYDE JORGE DA SILVA</w:t>
      </w:r>
    </w:p>
    <w:p w:rsidR="00154BDC" w:rsidRDefault="00893410">
      <w:pPr>
        <w:spacing w:after="0" w:line="240" w:lineRule="auto"/>
        <w:jc w:val="center"/>
      </w:pPr>
      <w:r>
        <w:rPr>
          <w:b/>
        </w:rPr>
        <w:t>DIRETORIA DE ENSINO</w:t>
      </w:r>
    </w:p>
    <w:p w:rsidR="00154BDC" w:rsidRDefault="00893410">
      <w:pPr>
        <w:spacing w:after="0" w:line="240" w:lineRule="auto"/>
        <w:jc w:val="center"/>
      </w:pPr>
      <w:r>
        <w:rPr>
          <w:b/>
        </w:rPr>
        <w:t>DEPARTAMENTO DE ÁREA DE INFORMÁTICA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/>
        <w:jc w:val="center"/>
      </w:pPr>
      <w:r>
        <w:rPr>
          <w:b/>
          <w:sz w:val="28"/>
        </w:rPr>
        <w:t>FAUSTO YUUKI T.A FREIRE</w:t>
      </w:r>
    </w:p>
    <w:p>
      <w:pPr>
        <w:spacing w:after="0" w:line="360" w:lineRule="auto"/>
        <w:jc w:val="center"/>
      </w:pPr>
      <w:r>
        <w:rPr>
          <w:b w:val="0"/>
          <w:i w:val="0"/>
          <w:sz w:val="32"/>
        </w:rPr>
        <w:t xml:space="preserve">O HARNESS COMO DECISÃO DO DESENVOLVEDOR: EFEITO SOBRE TOKENS E TAXA DE SUCESSO DE AGENTES DE CODIFICAÇÃO NA CONSTRUÇÃO DE UM MESMO PRODUTO COM O MODELO DE LINGUAGEM FIXO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 w:line="240" w:lineRule="auto"/>
        <w:jc w:val="center"/>
      </w:pPr>
      <w:r>
        <w:t>Cuiabá</w:t>
      </w:r>
    </w:p>
    <w:p w:rsidR="00154BDC" w:rsidRDefault="00893410">
      <w:pPr>
        <w:spacing w:after="0" w:line="240" w:lineRule="auto"/>
        <w:jc w:val="center"/>
      </w:pPr>
      <w:r>
        <w:t>2026</w:t>
      </w:r>
    </w:p>
    <w:p w:rsidR="00154BDC" w:rsidRDefault="00893410">
      <w:r>
        <w:br w:type="page"/>
      </w:r>
    </w:p>
    <w:p w:rsidR="00154BDC" w:rsidRDefault="00893410">
      <w:pPr>
        <w:spacing w:after="0"/>
        <w:jc w:val="center"/>
      </w:pPr>
      <w:r>
        <w:rPr>
          <w:b/>
        </w:rPr>
        <w:lastRenderedPageBreak/>
        <w:t>FAUSTO YUUKI T.A FREIRE</w:t>
      </w:r>
    </w:p>
    <w:p>
      <w:pPr>
        <w:spacing w:after="0" w:line="360" w:lineRule="auto"/>
        <w:jc w:val="center"/>
      </w:pPr>
      <w:r>
        <w:rPr>
          <w:b w:val="0"/>
          <w:i w:val="0"/>
          <w:sz w:val="28"/>
        </w:rPr>
        <w:t xml:space="preserve">O HARNESS COMO DECISÃO DO DESENVOLVEDOR: EFEITO SOBRE TOKENS E TAXA DE SUCESSO DE AGENTES DE CODIFICAÇÃO NA CONSTRUÇÃO DE UM MESMO PRODUTO COM O MODELO DE LINGUAGEM FIXO</w:t>
      </w:r>
    </w:p>
    <w:p>
      <w:pPr>
        <w:spacing w:after="0" w:line="240" w:lineRule="auto"/>
        <w:ind w:left="4535"/>
        <w:jc w:val="both"/>
      </w:pPr>
      <w:r>
        <w:rPr>
          <w:b w:val="0"/>
          <w:i w:val="0"/>
        </w:rPr>
        <w:t xml:space="preserve">Projeto de pesquisa apresentado ao Departamento de Área de Informática do Instituto Federal de Educação, Ciência e Tecnologia de Mato Grosso, Campus Octayde Jorge da Silva, na disciplina de Metodologia Científica do curso de Sistemas para Internet.</w:t>
      </w:r>
    </w:p>
    <w:p w:rsidR="00154BDC" w:rsidRDefault="00893410">
      <w:pPr>
        <w:spacing w:before="240" w:after="0" w:line="240" w:lineRule="auto"/>
        <w:ind w:left="4535"/>
        <w:jc w:val="both"/>
      </w:pPr>
      <w:r>
        <w:t>Orientadora: Profa. Inara Silva</w:t>
      </w:r>
    </w:p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154BDC"/>
    <w:p w:rsidR="00154BDC" w:rsidRDefault="00893410">
      <w:pPr>
        <w:spacing w:after="0" w:line="240" w:lineRule="auto"/>
        <w:jc w:val="center"/>
      </w:pPr>
      <w:r>
        <w:t>Cuiabá</w:t>
      </w:r>
    </w:p>
    <w:p w:rsidR="00154BDC" w:rsidRDefault="00893410">
      <w:pPr>
        <w:spacing w:after="0" w:line="240" w:lineRule="auto"/>
        <w:jc w:val="center"/>
      </w:pPr>
      <w:r>
        <w:t>2026</w:t>
      </w:r>
    </w:p>
    <w:p w:rsidR="00154BDC" w:rsidRDefault="00893410">
      <w:r>
        <w:br w:type="page"/>
      </w:r>
    </w:p>
    <w:p w:rsidR="00154BDC" w:rsidRDefault="00893410">
      <w:pPr>
        <w:spacing w:after="480"/>
        <w:jc w:val="center"/>
      </w:pPr>
      <w:r>
        <w:rPr>
          <w:b/>
          <w:sz w:val="28"/>
        </w:rPr>
        <w:lastRenderedPageBreak/>
        <w:t>SUMÁRIO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>1 INTRODUÇÃO</w:t>
      </w:r>
      <w:r>
        <w:tab/>
        <w:t>1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>2 REFERENCIAL TEÓRICO</w:t>
      </w:r>
      <w:r>
        <w:tab/>
        <w:t>3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 xml:space="preserve">3 MATERIAL E </w:t>
      </w:r>
      <w:r>
        <w:t>MÉTODO</w:t>
      </w:r>
      <w:r>
        <w:tab/>
        <w:t>5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>4 ORÇAMENTO</w:t>
      </w:r>
      <w:r>
        <w:tab/>
        <w:t>7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>5 CRONOGRAMA</w:t>
      </w:r>
      <w:r>
        <w:tab/>
        <w:t>8</w:t>
      </w:r>
    </w:p>
    <w:p w:rsidR="00154BDC" w:rsidRDefault="00893410">
      <w:pPr>
        <w:tabs>
          <w:tab w:val="right" w:pos="9071"/>
        </w:tabs>
        <w:spacing w:after="0" w:line="360" w:lineRule="auto"/>
      </w:pPr>
      <w:r>
        <w:t>6 REFERÊNCIAS</w:t>
      </w:r>
      <w:r>
        <w:tab/>
        <w:t>8</w:t>
      </w:r>
    </w:p>
    <w:p w:rsidR="00154BDC" w:rsidRDefault="00154BDC">
      <w:pPr>
        <w:sectPr w:rsidR="00154BDC"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lastRenderedPageBreak/>
        <w:t>1 INTRODUÇÃO</w:t>
      </w:r>
    </w:p>
    <w:p w:rsidR="00154BDC" w:rsidRDefault="00893410">
      <w:pPr>
        <w:spacing w:before="120" w:after="0" w:line="360" w:lineRule="auto"/>
      </w:pPr>
      <w:r>
        <w:rPr>
          <w:b/>
        </w:rPr>
        <w:t>Justificativa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Agentes de codificação como o Codex e o Claude Code são ferramenta de trabalho do desenvolvedor. Cada um é um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, a camada de software ao redor do modelo, e ela muda o custo com o modelo fixo. No FrontierHarness (Runta, 2026), doze configurações de nove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 sobre o mesmo modelo ficam entre 50,0% e 66,7% de aprovação, e o custo por tarefa concluída vai de US$ 1,05 a US$ 18,34, uma razão de 17,5x calculada pelo autor deste projeto. Dois dos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 medidos ali são de código aberto e rodam sem interface: o pi conclui 60,0% das tarefas a US$ 2,43 por tarefa concluída e o OpenCode 50,0% a US$ 3,24.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Quem paga essa conta é o desenvolvedor, na assinatura pessoal, e a empresa que adota a ferramenta em escala; conhecer 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virou parte do ofício. As comparações publicadas usam suítes de tarefas isoladas, e não dizem quanto custa entregar um produto inteiro com uma ferramenta em vez de outra. Este projeto medirá esse custo construindo o mesmo produto duas vezes, do zero: o Finn, um SaaS de financeiro por voz, será construído com o OpenCode e com o pi, sobre o mesmo modelo e a partir da mesma especificação, e os tokens que cada braço gastar até entregar o produto serão contados fora do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. O resultado será um critério de escolha para o desenvolvedor e para a empresa.</w:t>
      </w:r>
    </w:p>
    <w:p w:rsidR="00154BDC" w:rsidRDefault="00893410">
      <w:pPr>
        <w:spacing w:before="120" w:after="0" w:line="360" w:lineRule="auto"/>
      </w:pPr>
      <w:r>
        <w:rPr>
          <w:b/>
        </w:rPr>
        <w:t>Tema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A escolha do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como decisão de engenharia do desenvolvedor e da empresa: seu efeito sobre os tokens consumidos e sobre a taxa de sucesso de agentes de codificação na construção de um mesmo produto de software, mantido fixo o modelo de linguagem.</w:t>
      </w:r>
    </w:p>
    <w:p w:rsidR="00154BDC" w:rsidRDefault="00893410">
      <w:pPr>
        <w:spacing w:before="120" w:after="0" w:line="360" w:lineRule="auto"/>
      </w:pPr>
      <w:r>
        <w:rPr>
          <w:b/>
        </w:rPr>
        <w:t>Problema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Para o desenvolvedor ou a empresa que já escolheu o modelo, quantos tokens a mais ou a menos custa construir o mesmo software com um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em vez de outro? E quanto dessa diferença vem da carga fixa que cada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envia em toda requisição, de modo que seja possível agir sobre ela?</w:t>
      </w:r>
    </w:p>
    <w:p w:rsidR="00154BDC" w:rsidRDefault="00893410">
      <w:pPr>
        <w:spacing w:before="120" w:after="0" w:line="360" w:lineRule="auto"/>
      </w:pPr>
      <w:r>
        <w:rPr>
          <w:b/>
        </w:rPr>
        <w:t>Objetivo geral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Medir, com o modelo de linguagem mantido fixo, a diferença de tokens consumidos e de taxa de sucesso atribuível ao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na construção do mesmo produto de software a partir da mesma especificação, tomando como braços dois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 de código aberto, o OpenCode e o pi, separando a parte dessa diferença que vem da carga fixa por requisição, e entregar o resultado como critério de escolha reproduzível pelo desenvolvedor.</w:t>
      </w:r>
    </w:p>
    <w:p w:rsidR="00154BDC" w:rsidRDefault="00893410">
      <w:pPr>
        <w:spacing w:before="120" w:after="0" w:line="360" w:lineRule="auto"/>
      </w:pPr>
      <w:r>
        <w:rPr>
          <w:b/>
        </w:rPr>
        <w:t>Objetivos específicos</w:t>
      </w:r>
    </w:p>
    <w:p>
      <w:pPr>
        <w:spacing w:after="0" w:line="360" w:lineRule="auto"/>
        <w:ind w:left="709"/>
        <w:jc w:val="both"/>
      </w:pPr>
      <w:r>
        <w:rPr>
          <w:b w:val="0"/>
          <w:i w:val="0"/>
        </w:rPr>
        <w:t xml:space="preserve">1) construir um instrumento de medição externo aos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, capaz de contabilizar de forma idêntica, para os dois, o número de requisições ao modelo, os tokens de entrada e de saída e a latência por requisição;</w:t>
      </w:r>
    </w:p>
    <w:p>
      <w:pPr>
        <w:spacing w:after="0" w:line="360" w:lineRule="auto"/>
        <w:ind w:left="709"/>
        <w:jc w:val="both"/>
      </w:pPr>
      <w:r>
        <w:rPr>
          <w:b w:val="0"/>
          <w:i w:val="0"/>
        </w:rPr>
        <w:t xml:space="preserve">2) escrever a especificação do Finn em nove unidades, a partir das decisões já registradas no repositório do produto, com testes de aceitação escritos pelo autor antes da execução, independentes dos testes que o próprio agente produzir;</w:t>
      </w:r>
    </w:p>
    <w:p>
      <w:pPr>
        <w:spacing w:after="0" w:line="360" w:lineRule="auto"/>
        <w:ind w:left="709"/>
        <w:jc w:val="both"/>
      </w:pPr>
      <w:r>
        <w:rPr>
          <w:b w:val="0"/>
          <w:i w:val="0"/>
        </w:rPr>
        <w:t xml:space="preserve">3) preparar um espaço de trabalho inicial idêntico para os dois braços, contendo apenas a especificação e a pilha fixada, congelado por hash;</w:t>
      </w:r>
    </w:p>
    <w:p>
      <w:pPr>
        <w:spacing w:after="0" w:line="360" w:lineRule="auto"/>
        <w:ind w:left="709"/>
        <w:jc w:val="both"/>
      </w:pPr>
      <w:r>
        <w:rPr>
          <w:b w:val="0"/>
          <w:i w:val="0"/>
        </w:rPr>
        <w:t xml:space="preserve">4) executar a construção completa do Finn nos dois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, unidade a unidade, com o mesmo modelo e os mesmos </w:t>
      </w:r>
      <w:r>
        <w:rPr>
          <w:b w:val="0"/>
          <w:i/>
        </w:rPr>
        <w:t xml:space="preserve">prompts</w:t>
      </w:r>
      <w:r>
        <w:rPr>
          <w:b w:val="0"/>
          <w:i w:val="0"/>
        </w:rPr>
        <w:t xml:space="preserve">, repetindo cada condição e reportando dispersão;</w:t>
      </w:r>
    </w:p>
    <w:p>
      <w:pPr>
        <w:spacing w:after="0" w:line="360" w:lineRule="auto"/>
        <w:ind w:left="709"/>
        <w:jc w:val="both"/>
      </w:pPr>
      <w:r>
        <w:rPr>
          <w:b w:val="0"/>
          <w:i w:val="0"/>
        </w:rPr>
        <w:t xml:space="preserve">5) repetir o experimento em um segundo modelo, verificando se a ordenação entre os dois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 se mantém ou se inverte;</w:t>
      </w:r>
    </w:p>
    <w:p>
      <w:pPr>
        <w:spacing w:after="0" w:line="360" w:lineRule="auto"/>
        <w:ind w:left="709"/>
        <w:jc w:val="both"/>
      </w:pPr>
      <w:r>
        <w:rPr>
          <w:b w:val="0"/>
          <w:i w:val="0"/>
        </w:rPr>
        <w:t xml:space="preserve">6) quantificar a divergência entre os tokens relatados por cada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e os tokens medidos no instrumento externo, que são o que o desenvolvedor paga;</w:t>
      </w:r>
    </w:p>
    <w:p>
      <w:pPr>
        <w:spacing w:after="0" w:line="360" w:lineRule="auto"/>
        <w:ind w:left="709"/>
        <w:jc w:val="both"/>
      </w:pPr>
      <w:r>
        <w:rPr>
          <w:b w:val="0"/>
          <w:i w:val="0"/>
        </w:rPr>
        <w:t xml:space="preserve">7) publicar o executor, os </w:t>
      </w:r>
      <w:r>
        <w:rPr>
          <w:b w:val="0"/>
          <w:i/>
        </w:rPr>
        <w:t xml:space="preserve">prompts</w:t>
      </w:r>
      <w:r>
        <w:rPr>
          <w:b w:val="0"/>
          <w:i w:val="0"/>
        </w:rPr>
        <w:t xml:space="preserve">, os testes de aceitação, os dados brutos e os scripts de análise, com um procedimento que o desenvolvedor reexecute na própria máquina a custo monetário zero.</w:t>
      </w:r>
    </w:p>
    <w:p w:rsidR="00154BDC" w:rsidRDefault="00893410">
      <w:pPr>
        <w:spacing w:before="120" w:after="0" w:line="360" w:lineRule="auto"/>
      </w:pPr>
      <w:r>
        <w:rPr>
          <w:b/>
        </w:rPr>
        <w:t>Metodologia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A pesquisa é aplicada, quali-quantitativa, exploratória e experimental, e o método é dedutivo, com hipóteses declaradas antes da coleta. Os dados serão coletados por um instrumento próprio, um </w:t>
      </w:r>
      <w:r>
        <w:rPr>
          <w:b w:val="0"/>
          <w:i/>
        </w:rPr>
        <w:t xml:space="preserve">proxy</w:t>
      </w:r>
      <w:r>
        <w:rPr>
          <w:b w:val="0"/>
          <w:i w:val="0"/>
        </w:rPr>
        <w:t xml:space="preserve"> reverso interposto entre cada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e o modelo, que contará requisições, tokens e latência da mesma forma para os dois braços. Cada braço construirá o Finn do zero, a partir de uma especificação única dividida em nove unidades, ao menos três vezes; a comparação será feita sobre os tokens por construção, relatados ao lado da fração de testes de aceitação aprovados, e por teste pareado sobre os tokens de cada unidade. Espera-se obter a diferença de tokens e de taxa de sucesso atribuível ao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, em forma utilizável por quem escolhe a ferramenta. A seção 3 detalha material, método e tratamento estatístico.</w:t>
      </w:r>
    </w:p>
    <w:p w:rsidR="00154BDC" w:rsidRDefault="00893410">
      <w:pPr>
        <w:spacing w:before="120" w:after="0" w:line="360" w:lineRule="auto"/>
      </w:pPr>
      <w:r>
        <w:rPr>
          <w:b/>
        </w:rPr>
        <w:t>Hip</w:t>
      </w:r>
      <w:r>
        <w:rPr>
          <w:b/>
        </w:rPr>
        <w:t>ótese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H1: entre dois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 executando o mesmo modelo, o OpenCode e o pi, a diferença de tokens gastos para construir o mesmo produto, o Finn, a partir da mesma especificação é de ordem prática relevante para quem paga a conta, comparável à diferença obtida ao se trocar de modelo sob um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fixo. H1 será refutada se os intervalos de tokens por construção dos dois braços se sobrepuserem e o teste pareado por unidade não apontar diferença.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H2: a carga fixa que cada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envia em toda requisição (</w:t>
      </w:r>
      <w:r>
        <w:rPr>
          <w:b w:val="0"/>
          <w:i/>
        </w:rPr>
        <w:t xml:space="preserve">prompt</w:t>
      </w:r>
      <w:r>
        <w:rPr>
          <w:b w:val="0"/>
          <w:i w:val="0"/>
        </w:rPr>
        <w:t xml:space="preserve"> de sistema e esquemas de ferramenta, medidos na Camada 1) explica a maior parte dessa diferença, e o número de passos que cada um leva para concluir cada unidade explica a parte menor. H2 será refutada se o número de passos explicar a maior parte da diferença de tokens. Esse desfecho é possível e seria um achado a reportar, já que 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com mais ferramentas pode compensar a carga extra concluindo a unidade em menos passos.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Este trabalho está organizado em seis seções. Esta introdução apresenta a justificativa, o tema, o problema, os objetivos, a metodologia e as hipóteses. A seção 2 posiciona o trabalho na literatura e delimita as pendências que ele se propõe a resolver. A seção 3 descreve o material e o método: classificação da pesquisa, camadas de medição, braços, produto e especificação, limites, tratamento estatístico e limitações. A seção 4 apresenta o orçamento, a seção 5 o cronograma, e a seção 6 reúne as referências.</w:t>
      </w: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t>2 REFERENCIAL TEÓRICO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Segundo Ning et al. (2026, §2, tradução nossa), um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“converte um modelo de linguagem sem estado em um agente funcional ao ancorar suas saídas em execução externa, estado persistente e realimentação verificável”. Wang et al. (2026) descrevem a mesma camada pelo que ela faz: monta os </w:t>
      </w:r>
      <w:r>
        <w:rPr>
          <w:b w:val="0"/>
          <w:i/>
        </w:rPr>
        <w:t xml:space="preserve">prompts</w:t>
      </w:r>
      <w:r>
        <w:rPr>
          <w:b w:val="0"/>
          <w:i w:val="0"/>
        </w:rPr>
        <w:t xml:space="preserve">, gerencia o estado, invoca as ferramentas e coordena o laço. É ela que muda quando o desenvolvedor troca de ferramenta e mantém o modelo, e os dois braços deste projeto ficam em pontos distantes dessa camada: o pi é um laço próximo do ReAct mínimo (Yao et al., 2022), com quatro ferramentas, e o OpenCode traz planejamento, compactação, subagentes e permissões. Lin et al. (2026) delimitam o que, exatamente, essa camada contém:</w:t>
      </w:r>
    </w:p>
    <w:p w:rsidR="00154BDC" w:rsidRDefault="00893410">
      <w:pPr>
        <w:spacing w:before="240" w:after="240" w:line="240" w:lineRule="auto"/>
        <w:ind w:left="2268"/>
        <w:jc w:val="both"/>
      </w:pPr>
      <w:r>
        <w:rPr>
          <w:sz w:val="20"/>
        </w:rPr>
        <w:t>Na prática, esse progresso depende não apenas do modelo de linguagem subjacente, mas igualmente dos componentes de engenharia que o cercam: o pro</w:t>
      </w:r>
      <w:r>
        <w:rPr>
          <w:sz w:val="20"/>
        </w:rPr>
        <w:t>mpt de sistema que molda o estilo de trabalho, as ferramentas que expõem o sistema de arquivos e o shell, e o middleware que controla contexto, execução e recuperação. Esse conjunto de componentes externos ao modelo e editáveis é chamado coletivamente de h</w:t>
      </w:r>
      <w:r>
        <w:rPr>
          <w:sz w:val="20"/>
        </w:rPr>
        <w:t xml:space="preserve">arness do agente. (Lin </w:t>
      </w:r>
      <w:r>
        <w:rPr>
          <w:i/>
          <w:sz w:val="20"/>
        </w:rPr>
        <w:t>et al.</w:t>
      </w:r>
      <w:r>
        <w:rPr>
          <w:sz w:val="20"/>
        </w:rPr>
        <w:t>, 2026, §1, tradução nossa).</w:t>
      </w:r>
    </w:p>
    <w:p w:rsidR="00154BDC" w:rsidRDefault="00893410">
      <w:pPr>
        <w:spacing w:after="0" w:line="360" w:lineRule="auto"/>
        <w:ind w:firstLine="709"/>
        <w:jc w:val="both"/>
      </w:pPr>
      <w:r>
        <w:t>É esse conjunto, e apenas ele, que varia entre os braços deste experimento, com o modelo mantido fixo.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A interface entre modelo e ambiente é objeto de projeto desde Yang et al. (2024). Na Tabela 1 de Lin et al. (2026),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 escritos por humanos sobre um modelo congelado (GPT-5.4, Terminal-Bench 2, 89 tarefas) vão de 47,2% de aprovação no OpenCode a 71,9% no Codex, uma diferença de 24,7 pontos percentuais calculada pelo autor deste projeto. Zhang et al. (2026) enunciam a Binding Constraint Thesis: em tarefas de longo horizonte com modelos de fronteira comparáveis, a parcela do desempenho que vem do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é frequentemente comparável ou maior que a que vem do modelo, e pode dominá-la. Em Alier Forment et al. (2026), os dois </w:t>
      </w:r>
      <w:r>
        <w:rPr>
          <w:b w:val="0"/>
          <w:i/>
        </w:rPr>
        <w:t xml:space="preserve">scaffoldings</w:t>
      </w:r>
      <w:r>
        <w:rPr>
          <w:b w:val="0"/>
          <w:i w:val="0"/>
        </w:rPr>
        <w:t xml:space="preserve"> sem suporte a MCP saíram de 5,0x a 28x mais baratos que os cinco que o suportam, e o pi foi o mais barato da matriz. Somam-se três fontes não revisadas por pares. O HarnessRank (2026) ordena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 por taxa de aprovação com modelo fixo e publica custo e tokens ao lado, sem que eles alterem a ordem. O FrontierHarness (Runta, 2026) compara, sobre o mesmo modelo, as ferramentas que o desenvolvedor encontra no mercado: o Codex conclui 66,7% das tarefas a US$ 3,47 por tarefa concluída e o Claude Code 63,3% a US$ 18,34, ou seja, 5,3x mais caro para uma taxa próxima (cálculo do autor deste projeto). O estudo da Databricks registra custo por tarefa variando mais de 2x em alguns casos, sem mudança de qualidade (Databricks, 2026 apud Earendil, 2026).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A primeira pendência é de atribuição. Toda comparação publicada contrasta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 sobre suítes de tarefas isoladas e curtas, e a dispersão medida agrega </w:t>
      </w:r>
      <w:r>
        <w:rPr>
          <w:b w:val="0"/>
          <w:i/>
        </w:rPr>
        <w:t xml:space="preserve">prompt</w:t>
      </w:r>
      <w:r>
        <w:rPr>
          <w:b w:val="0"/>
          <w:i w:val="0"/>
        </w:rPr>
        <w:t xml:space="preserve">, ferramentas, gestão de contexto e desenho do laço sem separá-los. O desenvolvedor sabe qual ferramenta ganhou, mas não o que a fez ganhar, nem quanto essa diferença custa ao longo de um produto inteiro. Ning et al. (2026) nomeiam a lacuna em §5.2.1 e pedem, em §5.2.7, “métricas que isolem componentes do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” (Ning et al., 2026, tradução nossa). Lee et al. (2026) mostram que essas decisões são isoláveis: uma busca automática que edita só o código do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, com o modelo fixo, chegou a 76,4% de aprovação no TerminalBench-2 (89 tarefas, Claude Opus 4.6), contra 74,7% do Terminus-KIRA, 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escrito à mão de que a busca partiu (Lee et al., 2026, Tabela 7). Este projeto responderá a §5.2.7 pelo lado da medição: separará, em cada requisição, a carga fixa do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(</w:t>
      </w:r>
      <w:r>
        <w:rPr>
          <w:b w:val="0"/>
          <w:i/>
        </w:rPr>
        <w:t xml:space="preserve">prompt</w:t>
      </w:r>
      <w:r>
        <w:rPr>
          <w:b w:val="0"/>
          <w:i w:val="0"/>
        </w:rPr>
        <w:t xml:space="preserve"> de sistema e esquemas de ferramenta) do conteúdo da conversa, e medirá quanto dessa carga chega ao resultado ao longo de um produto completo.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A segunda pendência é de instrumentação, e atinge o desenvolvedor diretamente, porque ele decide pelo relatório da própria ferramenta. O que um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relata sobre o próprio custo diverge do que ele gasta, e cada um omite um conjunto diferente de chamadas reais ao modelo. Kapoor et al. (2024) mostram que a avaliação de agentes ignora o custo e por isso erra sobre a origem dos ganhos, e Kapoor et al. (2025) registram que as avaliações raramente relatam custo e que comparações entre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 são raras. Por isso a medição ocorrerá em um </w:t>
      </w:r>
      <w:r>
        <w:rPr>
          <w:b w:val="0"/>
          <w:i/>
        </w:rPr>
        <w:t xml:space="preserve">proxy</w:t>
      </w:r>
      <w:r>
        <w:rPr>
          <w:b w:val="0"/>
          <w:i w:val="0"/>
        </w:rPr>
        <w:t xml:space="preserve"> externo, e o objetivo (6) quantificará essa divergência.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As métricas serão os tokens por construção, contados no </w:t>
      </w:r>
      <w:r>
        <w:rPr>
          <w:b w:val="0"/>
          <w:i/>
        </w:rPr>
        <w:t xml:space="preserve">proxy</w:t>
      </w:r>
      <w:r>
        <w:rPr>
          <w:b w:val="0"/>
          <w:i w:val="0"/>
        </w:rPr>
        <w:t xml:space="preserve"> e relatados ao lado da fração de testes de aceitação aprovados, e o Succ/Mtok (sucesso por milhão de tokens), de Lin et al. (2026), a razão que interessa a quem paga a conta. Sobre elas pesa uma ressalva permanente, a de que o efeito é específico do modelo e pode inverter de sinal. No Holistic Agent Leaderboard, os modelos da Anthropic vão melhor com o BrowserUse e os da OpenAI com o SeeAct sobre o mesmo </w:t>
      </w:r>
      <w:r>
        <w:rPr>
          <w:b w:val="0"/>
          <w:i/>
        </w:rPr>
        <w:t xml:space="preserve">benchmark</w:t>
      </w:r>
      <w:r>
        <w:rPr>
          <w:b w:val="0"/>
          <w:i w:val="0"/>
        </w:rPr>
        <w:t xml:space="preserve"> (Kapoor et al., 2025), e o FrontierHarness registra, para o Claude Code, aproveitamento de </w:t>
      </w:r>
      <w:r>
        <w:rPr>
          <w:b w:val="0"/>
          <w:i/>
        </w:rPr>
        <w:t xml:space="preserve">cache</w:t>
      </w:r>
      <w:r>
        <w:rPr>
          <w:b w:val="0"/>
          <w:i w:val="0"/>
        </w:rPr>
        <w:t xml:space="preserve"> de 25,0% ponderado por tokens contra 67,8% na célula mediana do mesmo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(Runta, 2026). Por isso o desenho carregará dois níveis de modelo, e as conclusões serão enunciadas por nível.</w:t>
      </w: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lastRenderedPageBreak/>
        <w:t>3 MATERIAL E MÉTODO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Quanto à natureza, esta é uma pesquisa aplicada, e seu produto será um critério de escolha que um desenvolvedor ou uma empresa poderá aplicar. Quanto à abordagem, combina o quantitativo e o qualitativo. As medidas de tokens e de sucesso são quantitativas, e a atribuição da diferença à carga fixa ou ao número de passos é qualitativa. Quanto aos objetivos, é exploratória, porque a comparação de dois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 construindo o mesmo produto completo do zero, a partir da mesma especificação, não tem precedente publicado. Quanto aos procedimentos, é experimental, com variável independente manipulada (o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) e variáveis controladas (modelo, especificação, espaço de trabalho inicial e limites). Quanto ao método, é dedutivo, porque parte de hipóteses declaradas antes da coleta e as submete a teste.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Duas partes deste projeto foram feitas com apoio de um agente de codificação. O levantamento das fontes usou um </w:t>
      </w:r>
      <w:r>
        <w:rPr>
          <w:b w:val="0"/>
          <w:i/>
        </w:rPr>
        <w:t xml:space="preserve">LLM Wiki</w:t>
      </w:r>
      <w:r>
        <w:rPr>
          <w:b w:val="0"/>
          <w:i w:val="0"/>
        </w:rPr>
        <w:t xml:space="preserve">, padrão descrito por Karpathy (2026) e mantido no repositório do projeto (YuukiFST, 2026c). Nesse arranjo, as fontes brutas ficam guardadas sem alteração, o agente escreve as páginas de síntese, cada operação entra em um registro cronológico e as dúvidas vão para uma fila de revisão. O autor curou as fontes e revisou cada síntese, e cada afirmação citada neste texto foi conferida na obra original, com o trecho copiado ao lado do veredito. A especificação do Finn usou o Helmsman, uma rotina escrita pelo autor (YuukiFST, 2026a) que separa as perguntas de um projeto em dois grupos: o que o sistema deve fazer, que só o autor responde, e como construir, que o agente decide sozinho e registra como </w:t>
      </w:r>
      <w:r>
        <w:rPr>
          <w:b w:val="0"/>
          <w:i/>
        </w:rPr>
        <w:t xml:space="preserve">ticket</w:t>
      </w:r>
      <w:r>
        <w:rPr>
          <w:b w:val="0"/>
          <w:i w:val="0"/>
        </w:rPr>
        <w:t xml:space="preserve">, com as alternativas e o critério. Quando uma decisão depende de um fato externo, como o preço de uma API, o agente dispara subagentes de pesquisa e só decide com o resultado em mãos. A Portaria CNPq nº 2.664/2026 pede que o uso de inteligência artificial generativa seja declarado com a ferramenta e a finalidade (Brasil, 2026). A ferramenta foi o Claude Code, e a finalidade foi entender o tema do projeto, buscar mais artigos sobre ele e registrar as decisões de produto e de pilha do Finn antes do experimento. O autor responde pelo texto final e por cada decisão de produto.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A medição ocorrerá em duas camadas, relatadas em separado. A Camada 1 medirá a forma da requisição contra um </w:t>
      </w:r>
      <w:r>
        <w:rPr>
          <w:b w:val="0"/>
          <w:i/>
        </w:rPr>
        <w:t xml:space="preserve">endpoint</w:t>
      </w:r>
      <w:r>
        <w:rPr>
          <w:b w:val="0"/>
          <w:i w:val="0"/>
        </w:rPr>
        <w:t xml:space="preserve"> simulado que não encaminha nada ao modelo: quantos esquemas de ferramenta, quantos bytes de </w:t>
      </w:r>
      <w:r>
        <w:rPr>
          <w:b w:val="0"/>
          <w:i/>
        </w:rPr>
        <w:t xml:space="preserve">prompt</w:t>
      </w:r>
      <w:r>
        <w:rPr>
          <w:b w:val="0"/>
          <w:i w:val="0"/>
        </w:rPr>
        <w:t xml:space="preserve"> de sistema e quantos tokens cada braço envia na primeira requisição e a cada passo seguinte. Essa camada não consome cota, é determinística e fornece a carga fixa por requisição de que H2 depende. A Camada 2 medirá a construção do produto contra o modelo real, consome cota e é estocástica. Mais bytes por requisição não significam, por si, resultado pior; a Camada 2 dirá quanto dessa carga chega ao resultado.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Os braços serão dois: o OpenCode (Opencode, 2026a) e o pi (Earendil, 2026). Os dois são de código aberto, rodam sem interface (opencode run e pi --mode json) e apontam para uma URL base compatível com a API da OpenAI sem adaptação, o que os faz atravessar o </w:t>
      </w:r>
      <w:r>
        <w:rPr>
          <w:b w:val="0"/>
          <w:i/>
        </w:rPr>
        <w:t xml:space="preserve">proxy</w:t>
      </w:r>
      <w:r>
        <w:rPr>
          <w:b w:val="0"/>
          <w:i w:val="0"/>
        </w:rPr>
        <w:t xml:space="preserve"> de medição. Ficam em pontos distantes do espaço de projeto: o pi envia quatro ferramentas e um </w:t>
      </w:r>
      <w:r>
        <w:rPr>
          <w:b w:val="0"/>
          <w:i/>
        </w:rPr>
        <w:t xml:space="preserve">prompt</w:t>
      </w:r>
      <w:r>
        <w:rPr>
          <w:b w:val="0"/>
          <w:i w:val="0"/>
        </w:rPr>
        <w:t xml:space="preserve"> de sistema curto, sem subagentes nem permissões; o OpenCode envia mais esquemas de ferramenta, um </w:t>
      </w:r>
      <w:r>
        <w:rPr>
          <w:b w:val="0"/>
          <w:i/>
        </w:rPr>
        <w:t xml:space="preserve">prompt</w:t>
      </w:r>
      <w:r>
        <w:rPr>
          <w:b w:val="0"/>
          <w:i w:val="0"/>
        </w:rPr>
        <w:t xml:space="preserve"> de sistema maior, e traz subagentes, permissões e compactação de contexto. As versões serão fixadas na adoção e registradas no repositório (YuukiFST, 2026c). Este projeto não escreve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algum; escreve o instrumento, os </w:t>
      </w:r>
      <w:r>
        <w:rPr>
          <w:b w:val="0"/>
          <w:i/>
        </w:rPr>
        <w:t xml:space="preserve">prompts</w:t>
      </w:r>
      <w:r>
        <w:rPr>
          <w:b w:val="0"/>
          <w:i w:val="0"/>
        </w:rPr>
        <w:t xml:space="preserve"> e os testes de aceitação.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O produto será o Finn, um SaaS multiempresa em que a empresa cliente fala com o próprio financeiro por voz e recebe lançamento, relatório e aviso no celular (YuukiFST, 2026b). As decisões de produto e de pilha foram registradas antes deste experimento em 21 </w:t>
      </w:r>
      <w:r>
        <w:rPr>
          <w:b w:val="0"/>
          <w:i/>
        </w:rPr>
        <w:t xml:space="preserve">tickets</w:t>
      </w:r>
      <w:r>
        <w:rPr>
          <w:b w:val="0"/>
          <w:i w:val="0"/>
        </w:rPr>
        <w:t xml:space="preserve"> fechados no repositório. A partir deles o autor escreverá, antes de qualquer execução, uma especificação única, congelada por hash SHA-256: um documento com o produto, a pilha fixada pelo dono (TypeScript, TanStack Start, tRPC, Drizzle ORM, PostgreSQL, Vitest) e as restrições gerais, e nove unidades, uma por </w:t>
      </w:r>
      <w:r>
        <w:rPr>
          <w:b w:val="0"/>
          <w:i/>
        </w:rPr>
        <w:t xml:space="preserve">ticket</w:t>
      </w:r>
      <w:r>
        <w:rPr>
          <w:b w:val="0"/>
          <w:i w:val="0"/>
        </w:rPr>
        <w:t xml:space="preserve"> técnico, em ordem de dependência: separação por empresa, governança, </w:t>
      </w:r>
      <w:r>
        <w:rPr>
          <w:b w:val="0"/>
          <w:i/>
        </w:rPr>
        <w:t xml:space="preserve">flags</w:t>
      </w:r>
      <w:r>
        <w:rPr>
          <w:b w:val="0"/>
          <w:i w:val="0"/>
        </w:rPr>
        <w:t xml:space="preserve"> por empresa, </w:t>
      </w:r>
      <w:r>
        <w:rPr>
          <w:b w:val="0"/>
          <w:i/>
        </w:rPr>
        <w:t xml:space="preserve">pipeline</w:t>
      </w:r>
      <w:r>
        <w:rPr>
          <w:b w:val="0"/>
          <w:i w:val="0"/>
        </w:rPr>
        <w:t xml:space="preserve"> de voz, confirmação da transcrição, registro de auditoria, relatório, agendador e cobrança. Cada braço recebe os mesmos bytes e constrói o produto do zero em um único espaço de trabalho: o executor invoca 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uma vez por unidade, em ordem, com um </w:t>
      </w:r>
      <w:r>
        <w:rPr>
          <w:b w:val="0"/>
          <w:i/>
        </w:rPr>
        <w:t xml:space="preserve">prompt</w:t>
      </w:r>
      <w:r>
        <w:rPr>
          <w:b w:val="0"/>
          <w:i w:val="0"/>
        </w:rPr>
        <w:t xml:space="preserve"> idêntico para os dois braços, e o que o agente construiu em uma unidade é o ponto de partida da seguinte. O autor não escreve código algum no espaço de trabalho depois do início. Os dois braços recebem a mesma entrada, e por isso a diferença de tokens fica atribuível ao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. A pontuação será a fração dos testes de aceitação aprovados; esses testes são escritos pelo autor antes da execução, ficam fora do espaço de trabalho, rodam sobre uma cópia dele ao fim de cada unidade e nunca são os testes que o agente escreve, já que um modelo que alucina uma API também escreve testes que simulam a alucinação. Uma unidade conta como concluída quando todos os seus testes passam, e a construção, quando todos os testes de todas as unidades passam ao fim.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Serão dois níveis de modelo, um primário e um de robustez, ambos gratuitos e no mesmo </w:t>
      </w:r>
      <w:r>
        <w:rPr>
          <w:b w:val="0"/>
          <w:i/>
        </w:rPr>
        <w:t xml:space="preserve">gateway</w:t>
      </w:r>
      <w:r>
        <w:rPr>
          <w:b w:val="0"/>
          <w:i w:val="0"/>
        </w:rPr>
        <w:t xml:space="preserve"> (Opencode, 2026b), relatados em separado. O segundo existe porque o efeito do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é específico do modelo. Se a ordenação entre os braços se inverter entre os níveis, a inversão será o resultado a reportar.</w:t>
      </w:r>
    </w:p>
    <w:p w:rsidR="00154BDC" w:rsidRDefault="00893410">
      <w:pPr>
        <w:spacing w:after="0" w:line="360" w:lineRule="auto"/>
        <w:ind w:firstLine="709"/>
        <w:jc w:val="both"/>
      </w:pPr>
      <w:r>
        <w:t xml:space="preserve">O instrumento </w:t>
      </w:r>
      <w:r>
        <w:t>de medição será um proxy reverso interposto entre cada braço e o gateway, que forçará a emissão do relatório de uso em cada requisição. Os tokens serão contados no proxy, sobre os bytes efetivamente transmitidos, com um único tokenizador divulgado para tod</w:t>
      </w:r>
      <w:r>
        <w:t xml:space="preserve">os os braços e níveis. A contagem virá do proxy porque o relatório do </w:t>
      </w:r>
      <w:r>
        <w:rPr>
          <w:i/>
        </w:rPr>
        <w:t>harness</w:t>
      </w:r>
      <w:r>
        <w:t xml:space="preserve"> e o do gateway incluem conteúdo injetado que nenhum braço enviou. Esse deslocamento aditivo por requisição não se cancela em uma razão e cobraria de cada braço um excedente propo</w:t>
      </w:r>
      <w:r>
        <w:t>rcional ao número de passos, que é um dos comportamentos sob teste. As contagens do gateway permanecerão registradas para verificação cruzada e para o cálculo de custo, e a divergência entre elas e as do proxy será reportada por braço.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Um único limite será imposto, idêntico para os dois braços. É um relógio de parede por unidade, cujo valor será três vezes a maior mediana que os dois braços gastarem nas unidades-piloto. O número de passos não será limitado, porque um teto de passos é ele próprio uma decisão de projeto de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e apagaria a diferença sob teste. O comprimento máximo de saída será forçado idêntico pelo </w:t>
      </w:r>
      <w:r>
        <w:rPr>
          <w:b w:val="0"/>
          <w:i/>
        </w:rPr>
        <w:t xml:space="preserve">proxy</w:t>
      </w:r>
      <w:r>
        <w:rPr>
          <w:b w:val="0"/>
          <w:i w:val="0"/>
        </w:rPr>
        <w:t xml:space="preserve">. Os parâmetros de amostragem serão registrados e relatados, mas não normalizados, já que o </w:t>
      </w:r>
      <w:r>
        <w:rPr>
          <w:b w:val="0"/>
          <w:i/>
        </w:rPr>
        <w:t xml:space="preserve">gateway</w:t>
      </w:r>
      <w:r>
        <w:rPr>
          <w:b w:val="0"/>
          <w:i w:val="0"/>
        </w:rPr>
        <w:t xml:space="preserve"> os aceita sem os honrar, e Miller (2024) desaconselha mexer na temperatura para reduzir variância. O isolamento de ambiente será verificado por um portão que falha fechado.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Cada célula do experimento, o par (braço, nível), receberá n ≥ 3 construções completas, contadas após os descartes, na função redutora de variância que Miller (2024) atribui à reamostragem. Os resultados sairão como mediana com dispersão, porque requisições byte-idênticas podem variar em tokens de saída em um nível gratuito, o que as unidades-piloto vão medir. Quando a cota não comportar a matriz, a cobertura será reduzida antes das repetições, já que a variância é a principal ameaça ao desenho.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A medida principal será o total de tokens por construção, sempre relatado ao lado da fração final de testes aprovados, para que um braço que falhe barato não pareça o mais barato. A comparação inferencial será pareada por unidade e usará o teste de Wilcoxon dos postos sinalizados, bilateral, com α = 0,05, sobre duas medidas: os tokens de cada unidade e o Succ/Mtok de cada unidade. O teste é não paramétrico porque nove pares não sustentam suposição distribucional, e pareado porque a dificuldade da unidade é o maior fator de perturbação do desenho, que é o que Miller (2024) recomenda ao preferir a diferença pareada por questão à média agregada. As unidades não são independentes, já que a seguinte parte do que o mesmo braço construiu nas anteriores, e um erro cobra de novo mais adiante. Essa dependência é parte do custo do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e será reportada por unidade. Com n = 3 e 9 unidades, a diferença mínima detectável é de cerca de 0,76σ. Para H2, os tokens de cada unidade serão decompostos em carga fixa (esquemas e </w:t>
      </w:r>
      <w:r>
        <w:rPr>
          <w:b w:val="0"/>
          <w:i/>
        </w:rPr>
        <w:t xml:space="preserve">prompt</w:t>
      </w:r>
      <w:r>
        <w:rPr>
          <w:b w:val="0"/>
          <w:i w:val="0"/>
        </w:rPr>
        <w:t xml:space="preserve"> de sistema, medidos na Camada 1, multiplicados pelo número de passos) e conteúdo da conversa, e a parcela de cada uma na diferença entre braços será reportada por unidade e por construção. As predições serão pré-registradas por nível de modelo, e um resultado nulo para H2 será um achado reportável.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Cada unidade de cada construção receberá exatamente uma classe. Aquela cujo agente não a concluiu será um resultado, entrará na estatística com a fração de testes que aprovou, e a construção segue para a unidade seguinte a partir do que ficou; nesse grupo, o estouro do relógio de parede contará como resultado, já que repetir converteria uma indisponibilidade do serviço em diferença aparente entre </w:t>
      </w:r>
      <w:r>
        <w:rPr>
          <w:b w:val="0"/>
          <w:i/>
        </w:rPr>
        <w:t xml:space="preserve">harnesses</w:t>
      </w:r>
      <w:r>
        <w:rPr>
          <w:b w:val="0"/>
          <w:i w:val="0"/>
        </w:rPr>
        <w:t xml:space="preserve">. Aquela cuja medição for inconfiável descartará a construção inteira, registrada como tal, sem reparo nem repetição. A classificação virá do registro do </w:t>
      </w:r>
      <w:r>
        <w:rPr>
          <w:b w:val="0"/>
          <w:i/>
        </w:rPr>
        <w:t xml:space="preserve">proxy</w:t>
      </w:r>
      <w:r>
        <w:rPr>
          <w:b w:val="0"/>
          <w:i w:val="0"/>
        </w:rPr>
        <w:t xml:space="preserve">, já que o código de saída não discrimina o desfecho.</w:t>
      </w:r>
    </w:p>
    <w:p w:rsidR="00154BDC" w:rsidRDefault="00893410">
      <w:pPr>
        <w:spacing w:before="120" w:after="0" w:line="360" w:lineRule="auto"/>
      </w:pPr>
      <w:r>
        <w:rPr>
          <w:b/>
        </w:rPr>
        <w:t>Limitações e ameaças à validade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Quatro limitações são declaradas de partida. O efeito de um </w:t>
      </w:r>
      <w:r>
        <w:rPr>
          <w:b w:val="0"/>
          <w:i/>
        </w:rPr>
        <w:t xml:space="preserve">harness</w:t>
      </w:r>
      <w:r>
        <w:rPr>
          <w:b w:val="0"/>
          <w:i w:val="0"/>
        </w:rPr>
        <w:t xml:space="preserve"> é específico do modelo e pode inverter de sinal, o que restringe qualquer conclusão ao nível de modelo em que for obtida; o objetivo (5) existe para testar isso. O produto é um único SaaS sobre uma única pilha (TypeScript, TanStack Start, tRPC, Drizzle), então o resultado vale para tarefas dessa família, e a transferência para outras pilhas fica registrada como trabalho futuro. A especificação é escrita pelo autor, então carrega as escolhas de um humano, e cada braço carrega os próprios erros de uma unidade para a seguinte; a mitigação é que os dois braços recebem a mesma especificação e partem do mesmo espaço de trabalho vazio, e a comparação é pareada por unidade. Os valores absolutos não serão comparáveis a placares públicos, porque o produto é próprio, e os valores em dólar citados de fontes externas vêm de outros modelos e de níveis pagos; a comparação válida aqui é entre os dois braços, e o custo em dinheiro será um contrafactual de ordem de grandeza sobre tarifas pagas publicadas, rotulado como tal onde apareça.</w:t>
      </w: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t>4 ORÇAMENTO</w:t>
      </w:r>
    </w:p>
    <w:p w:rsidR="00154BDC" w:rsidRDefault="00893410">
      <w:pPr>
        <w:keepNext/>
        <w:spacing w:before="120" w:after="40" w:line="240" w:lineRule="auto"/>
      </w:pPr>
      <w:r>
        <w:rPr>
          <w:sz w:val="20"/>
        </w:rPr>
        <w:t>Tabela 1 – Orçamento do projeto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520"/>
        <w:gridCol w:w="2551"/>
      </w:tblGrid>
      <w:tr w:rsidR="00154BDC">
        <w:trPr>
          <w:jc w:val="center"/>
        </w:trPr>
        <w:tc>
          <w:tcPr>
            <w:tcW w:w="6520" w:type="dxa"/>
          </w:tcPr>
          <w:p w:rsidR="00154BDC" w:rsidRDefault="00893410">
            <w:pPr>
              <w:spacing w:before="20" w:after="20"/>
            </w:pPr>
            <w:r>
              <w:rPr>
                <w:b/>
                <w:sz w:val="22"/>
              </w:rPr>
              <w:t>Item</w:t>
            </w:r>
          </w:p>
        </w:tc>
        <w:tc>
          <w:tcPr>
            <w:tcW w:w="2551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22"/>
              </w:rPr>
              <w:t>Custo</w:t>
            </w:r>
          </w:p>
        </w:tc>
      </w:tr>
      <w:tr w:rsidR="00154BDC">
        <w:trPr>
          <w:jc w:val="center"/>
        </w:trPr>
        <w:tc>
          <w:tcPr>
            <w:tcW w:w="6520" w:type="dxa"/>
          </w:tcPr>
          <w:p w:rsidR="00154BDC" w:rsidRDefault="00893410">
            <w:pPr>
              <w:spacing w:before="20" w:after="20"/>
            </w:pPr>
            <w:r>
              <w:rPr>
                <w:sz w:val="22"/>
              </w:rPr>
              <w:t>Inferência dos modelos (dois níveis, nível gratuito do gateway)</w:t>
            </w:r>
          </w:p>
        </w:tc>
        <w:tc>
          <w:tcPr>
            <w:tcW w:w="2551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22"/>
              </w:rPr>
              <w:t>R$ 0,00</w:t>
            </w:r>
          </w:p>
        </w:tc>
      </w:tr>
      <w:tr w:rsidR="00154BDC">
        <w:trPr>
          <w:jc w:val="center"/>
        </w:trPr>
        <w:tc>
          <w:tcPr>
            <w:tcW w:w="6520" w:type="dxa"/>
          </w:tcPr>
          <w:p>
            <w:pPr>
              <w:spacing w:before="20" w:after="20"/>
            </w:pPr>
            <w:r>
              <w:rPr>
                <w:b w:val="0"/>
                <w:i/>
                <w:sz w:val="22"/>
              </w:rPr>
              <w:t xml:space="preserve">Harnesses</w:t>
            </w:r>
            <w:r>
              <w:rPr>
                <w:b w:val="0"/>
                <w:i w:val="0"/>
                <w:sz w:val="22"/>
              </w:rPr>
              <w:t xml:space="preserve"> e ferramentas (OpenCode e pi, código aberto; Node.js e PostgreSQL)</w:t>
            </w:r>
          </w:p>
        </w:tc>
        <w:tc>
          <w:tcPr>
            <w:tcW w:w="2551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22"/>
              </w:rPr>
              <w:t>R$ 0,00</w:t>
            </w:r>
          </w:p>
        </w:tc>
      </w:tr>
      <w:tr w:rsidR="00154BDC">
        <w:trPr>
          <w:jc w:val="center"/>
        </w:trPr>
        <w:tc>
          <w:tcPr>
            <w:tcW w:w="6520" w:type="dxa"/>
          </w:tcPr>
          <w:p w:rsidR="00154BDC" w:rsidRDefault="00893410">
            <w:pPr>
              <w:spacing w:before="20" w:after="20"/>
            </w:pPr>
            <w:r>
              <w:rPr>
                <w:sz w:val="22"/>
              </w:rPr>
              <w:t>Máquinas (estação pessoal NixOS e estação pessoal Windows)</w:t>
            </w:r>
          </w:p>
        </w:tc>
        <w:tc>
          <w:tcPr>
            <w:tcW w:w="2551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22"/>
              </w:rPr>
              <w:t>R$ 0,00 (já disponíveis)</w:t>
            </w:r>
          </w:p>
        </w:tc>
      </w:tr>
      <w:tr w:rsidR="00154BDC">
        <w:trPr>
          <w:jc w:val="center"/>
        </w:trPr>
        <w:tc>
          <w:tcPr>
            <w:tcW w:w="6520" w:type="dxa"/>
          </w:tcPr>
          <w:p w:rsidR="00154BDC" w:rsidRDefault="00893410">
            <w:pPr>
              <w:spacing w:before="20" w:after="20"/>
            </w:pPr>
            <w:r>
              <w:rPr>
                <w:b/>
                <w:sz w:val="22"/>
              </w:rPr>
              <w:t>Total</w:t>
            </w:r>
          </w:p>
        </w:tc>
        <w:tc>
          <w:tcPr>
            <w:tcW w:w="2551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22"/>
              </w:rPr>
              <w:t>R$ 0,00</w:t>
            </w:r>
          </w:p>
        </w:tc>
      </w:tr>
    </w:tbl>
    <w:p w:rsidR="00154BDC" w:rsidRDefault="00893410">
      <w:pPr>
        <w:spacing w:before="40" w:after="120" w:line="240" w:lineRule="auto"/>
      </w:pPr>
      <w:r>
        <w:rPr>
          <w:sz w:val="20"/>
        </w:rPr>
        <w:t>Fonte: elaborado pelo autor (2026).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O total em dinheiro é zero, e o limite que restringe o experimento será a cota do nível gratuito do </w:t>
      </w:r>
      <w:r>
        <w:rPr>
          <w:b w:val="0"/>
          <w:i/>
        </w:rPr>
        <w:t xml:space="preserve">gateway</w:t>
      </w:r>
      <w:r>
        <w:rPr>
          <w:b w:val="0"/>
          <w:i w:val="0"/>
        </w:rPr>
        <w:t xml:space="preserve">, a ser medida nas unidades-piloto contra o número de requisições que uma unidade do Finn consome. Por isso cada construção será executada em lotes distribuídos ao longo de dias, retomada na fronteira entre unidades, e o custo monetário aparecerá apenas como contrafactual de ordem de grandeza sobre as tarifas pagas publicadas.</w:t>
      </w: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lastRenderedPageBreak/>
        <w:t>5 CRONOGRAMA</w:t>
      </w:r>
    </w:p>
    <w:p>
      <w:pPr>
        <w:spacing w:after="0" w:line="360" w:lineRule="auto"/>
        <w:ind w:firstLine="709"/>
        <w:jc w:val="both"/>
      </w:pPr>
      <w:r>
        <w:rPr>
          <w:b w:val="0"/>
          <w:i w:val="0"/>
        </w:rPr>
        <w:t xml:space="preserve">A cota gratuita deve ser o limite vinculante, então a cadência prevista é de um lote da matriz por dia e o calendário se estende por semanas. A folga está concentrada na execução da matriz e na escrita da especificação e dos testes de aceitação, onde está o risco. Os meses vão de agosto de 2026 a janeiro de 2027. A escrita deste projeto foi concluída em setembro de 2026, mês de entrega, e os experimentos práticos ocorrem a partir de outubro.</w:t>
      </w:r>
    </w:p>
    <w:p w:rsidR="00154BDC" w:rsidRDefault="00893410">
      <w:pPr>
        <w:keepNext/>
        <w:spacing w:before="120" w:after="40" w:line="240" w:lineRule="auto"/>
      </w:pPr>
      <w:r>
        <w:rPr>
          <w:sz w:val="20"/>
        </w:rPr>
        <w:t>Tabela 2 – Cronograma de execução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09"/>
        <w:gridCol w:w="952"/>
        <w:gridCol w:w="952"/>
        <w:gridCol w:w="952"/>
        <w:gridCol w:w="952"/>
        <w:gridCol w:w="952"/>
        <w:gridCol w:w="952"/>
      </w:tblGrid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b/>
                <w:sz w:val="18"/>
              </w:rPr>
              <w:t>FASES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 xml:space="preserve">AGOSTO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 xml:space="preserve">SETEMBRO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 xml:space="preserve">OUTUBRO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 xml:space="preserve">NOVEMBRO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 xml:space="preserve">DEZEMBRO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b/>
                <w:sz w:val="18"/>
              </w:rPr>
              <w:t xml:space="preserve">JANEIRO</w:t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 xml:space="preserve">LEITURA E LEVANTAMENTO </w:t>
            </w:r>
            <w:r>
              <w:rPr>
                <w:sz w:val="18"/>
              </w:rPr>
              <w:t>BIBLIOGRÁFICO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DEFINIÇÃO DO TEMA, DO PROBLEMA E DAS HIPÓTESES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>
            <w:pPr>
              <w:spacing w:before="20" w:after="20"/>
            </w:pPr>
            <w:r>
              <w:rPr>
                <w:b w:val="0"/>
                <w:i w:val="0"/>
                <w:sz w:val="18"/>
              </w:rPr>
              <w:t xml:space="preserve">CONSTRUÇÃO DO INSTRUMENTO, DA ESPECIFICAÇÃO E DOS TESTES DE ACEITAÇÃO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ESCREVENDO INTRODUÇÃO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ESCREVENDO REFERENCIAL TEÓRICO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ESCREVENDO MATERIAL E MÉTODO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 xml:space="preserve"/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 xml:space="preserve">EXECUÇÃO DA </w:t>
            </w:r>
            <w:r>
              <w:rPr>
                <w:sz w:val="18"/>
              </w:rPr>
              <w:t>MATRIZ DE EXPERIMENTOS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 xml:space="preserve">X</w:t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ANÁLISE DOS RESULTADOS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 xml:space="preserve">X</w:t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ELABORANDO AS REFERÊNCIAS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>X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 xml:space="preserve"/>
            </w:r>
          </w:p>
        </w:tc>
      </w:tr>
      <w:tr w:rsidR="00154BDC">
        <w:trPr>
          <w:jc w:val="center"/>
        </w:trPr>
        <w:tc>
          <w:tcPr>
            <w:tcW w:w="4309" w:type="dxa"/>
          </w:tcPr>
          <w:p w:rsidR="00154BDC" w:rsidRDefault="00893410">
            <w:pPr>
              <w:spacing w:before="20" w:after="20"/>
            </w:pPr>
            <w:r>
              <w:rPr>
                <w:sz w:val="18"/>
              </w:rPr>
              <w:t>REVISÃO FINAL E PREPARAÇÃO DA APRESENTAÇÃO</w:t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>
                <w:sz w:val="18"/>
              </w:rPr>
              <w:t xml:space="preserve">X</w:t>
            </w: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154BDC">
            <w:pPr>
              <w:spacing w:before="20" w:after="20"/>
              <w:jc w:val="center"/>
            </w:pPr>
            <w:r>
              <w:rPr/>
              <w:t xml:space="preserve"/>
            </w:r>
          </w:p>
        </w:tc>
        <w:tc>
          <w:tcPr>
            <w:tcW w:w="952" w:type="dxa"/>
          </w:tcPr>
          <w:p w:rsidR="00154BDC" w:rsidRDefault="00893410">
            <w:pPr>
              <w:spacing w:before="20" w:after="20"/>
              <w:jc w:val="center"/>
            </w:pPr>
            <w:r>
              <w:rPr>
                <w:sz w:val="18"/>
              </w:rPr>
              <w:t xml:space="preserve"/>
            </w:r>
          </w:p>
        </w:tc>
      </w:tr>
    </w:tbl>
    <w:p w:rsidR="00154BDC" w:rsidRDefault="00893410">
      <w:pPr>
        <w:spacing w:before="40" w:after="120" w:line="240" w:lineRule="auto"/>
      </w:pPr>
      <w:r>
        <w:rPr>
          <w:sz w:val="20"/>
        </w:rPr>
        <w:t>Fonte: elaborado pelo autor (2026).</w:t>
      </w:r>
    </w:p>
    <w:p w:rsidR="00154BDC" w:rsidRDefault="00893410">
      <w:pPr>
        <w:keepNext/>
        <w:spacing w:before="240" w:after="120" w:line="360" w:lineRule="auto"/>
      </w:pPr>
      <w:r>
        <w:rPr>
          <w:b/>
          <w:sz w:val="28"/>
        </w:rPr>
        <w:t>6 REFERÊNCIAS</w:t>
      </w:r>
    </w:p>
    <w:p w:rsidR="00154BDC" w:rsidRDefault="00893410">
      <w:pPr>
        <w:spacing w:after="240" w:line="240" w:lineRule="auto"/>
      </w:pPr>
      <w:r>
        <w:t xml:space="preserve">ALIER FORMENT, Marc; CASAÑ GUERRERO, María José; GARCÍA-PEÑALVO, Francisco José; PEREIRA, Juanan. </w:t>
      </w:r>
      <w:r>
        <w:rPr>
          <w:b/>
        </w:rPr>
        <w:t>The scaffolding matters more than the interface</w:t>
      </w:r>
      <w:r>
        <w:t>: a controlled comparison of MCP and CLI tool use across seven agent scaffoldings, five language models, and on</w:t>
      </w:r>
      <w:r>
        <w:t xml:space="preserve">e software task. arXiv:2608.08654, 2026. </w:t>
      </w:r>
      <w:r>
        <w:rPr>
          <w:i/>
        </w:rPr>
        <w:t>Preprint</w:t>
      </w:r>
      <w:r>
        <w:t>, não revisado por pares. Disponível em: https://arxiv.org/abs/2608.08654. Acesso em: 9 set. 2026.</w:t>
      </w:r>
    </w:p>
    <w:p>
      <w:pPr>
        <w:spacing w:after="240" w:line="240" w:lineRule="auto"/>
      </w:pPr>
      <w:r>
        <w:rPr>
          <w:b w:val="0"/>
          <w:i w:val="0"/>
        </w:rPr>
        <w:t xml:space="preserve">BRASIL. Conselho Nacional de Desenvolvimento Científico e Tecnológico. </w:t>
      </w:r>
      <w:r>
        <w:rPr>
          <w:b/>
          <w:i w:val="0"/>
        </w:rPr>
        <w:t xml:space="preserve">Portaria CNPq nº 2.664, de 6 de março de 2026</w:t>
      </w:r>
      <w:r>
        <w:rPr>
          <w:b w:val="0"/>
          <w:i w:val="0"/>
        </w:rPr>
        <w:t xml:space="preserve">. Institui a Política de Integridade na Atividade Científica do CNPq. Diário Oficial da União: seção 1, Brasília, DF, p. 4, 11 mar. 2026. Disponível em: http://memoria2.cnpq.br/web/guest/view/-/journal_content/56_INSTANCE_0oED/10157/23142775. Acesso em: 11 set. 2026.</w:t>
      </w:r>
    </w:p>
    <w:p w:rsidR="00154BDC" w:rsidRDefault="00893410">
      <w:pPr>
        <w:spacing w:after="240" w:line="240" w:lineRule="auto"/>
      </w:pPr>
      <w:r>
        <w:t xml:space="preserve">EARENDIL. </w:t>
      </w:r>
      <w:r>
        <w:rPr>
          <w:b/>
        </w:rPr>
        <w:t>Pi, minimal and performant</w:t>
      </w:r>
      <w:r>
        <w:t>. 2026. Publ</w:t>
      </w:r>
      <w:r>
        <w:t>icação de blogue institucional. Disponível em: https://earendil.com/posts/pi-autoresearch-and-databricks/. Acesso em: 28 ago. 2026.</w:t>
      </w:r>
    </w:p>
    <w:p w:rsidR="00154BDC" w:rsidRDefault="00893410">
      <w:pPr>
        <w:spacing w:after="240" w:line="240" w:lineRule="auto"/>
      </w:pPr>
      <w:r>
        <w:t xml:space="preserve">HARNESSRANK. </w:t>
      </w:r>
      <w:r>
        <w:rPr>
          <w:b/>
        </w:rPr>
        <w:t>HarnessRank</w:t>
      </w:r>
      <w:r>
        <w:t>: coding-age</w:t>
      </w:r>
      <w:r>
        <w:t>nt harness rankings. 2026. Disponível em: https://harnessrank.net/. Acesso em: 28 ago. 2026.</w:t>
      </w:r>
    </w:p>
    <w:p w:rsidR="00154BDC" w:rsidRDefault="00893410">
      <w:pPr>
        <w:spacing w:after="240" w:line="240" w:lineRule="auto"/>
      </w:pPr>
      <w:r>
        <w:t xml:space="preserve">KAPOOR, Sayash; STROEBL, Benedikt; SIEGEL, Zachary S.; NADGIR, Nitya; NARAYANAN, Arvind. </w:t>
      </w:r>
      <w:r>
        <w:rPr>
          <w:b/>
        </w:rPr>
        <w:t>AI agents that matter</w:t>
      </w:r>
      <w:r>
        <w:t xml:space="preserve">. arXiv:2407.01502, 2024. </w:t>
      </w:r>
      <w:r>
        <w:rPr>
          <w:i/>
        </w:rPr>
        <w:t>Preprint</w:t>
      </w:r>
      <w:r>
        <w:t>, não revisado por pares. Disponível em: https://arxiv.org/abs/2407.01502. Acesso em: 28 ago. 2</w:t>
      </w:r>
      <w:r>
        <w:t>026.</w:t>
      </w:r>
    </w:p>
    <w:p w:rsidR="00154BDC" w:rsidRDefault="00893410">
      <w:pPr>
        <w:spacing w:after="240" w:line="240" w:lineRule="auto"/>
      </w:pPr>
      <w:r>
        <w:t xml:space="preserve">KAPOOR, Sayash </w:t>
      </w:r>
      <w:r>
        <w:rPr>
          <w:i/>
        </w:rPr>
        <w:t>et al.</w:t>
      </w:r>
      <w:r>
        <w:t xml:space="preserve"> </w:t>
      </w:r>
      <w:r>
        <w:rPr>
          <w:b/>
        </w:rPr>
        <w:t>Holistic Agent Leaderboard</w:t>
      </w:r>
      <w:r>
        <w:t xml:space="preserve">: the missing infrastructure for AI agent evaluation. arXiv:2510.11977, 2025. </w:t>
      </w:r>
      <w:r>
        <w:rPr>
          <w:i/>
        </w:rPr>
        <w:t>Preprint</w:t>
      </w:r>
      <w:r>
        <w:t>, não revisado por pares. Disponível em: https://arxiv.org/abs/2510.11977. Acesso em: 28 ago. 2026.</w:t>
      </w:r>
    </w:p>
    <w:p>
      <w:pPr>
        <w:spacing w:after="240" w:line="240" w:lineRule="auto"/>
      </w:pPr>
      <w:r>
        <w:rPr>
          <w:b w:val="0"/>
          <w:i w:val="0"/>
        </w:rPr>
        <w:t xml:space="preserve">KARPATHY, Andrej. LLM Wiki: a pattern for building personal knowledge bases using LLMs. 2026. Gist (GitHub). Disponível em: https://gist.github.com/karpathy/442a6bf555914893e9891c11519de94f. Acesso em: 14 set. 2026.</w:t>
      </w:r>
    </w:p>
    <w:p w:rsidR="00154BDC" w:rsidRDefault="00893410">
      <w:pPr>
        <w:spacing w:after="240" w:line="240" w:lineRule="auto"/>
      </w:pPr>
      <w:r>
        <w:t>LEE, Yoonho; NAIR</w:t>
      </w:r>
      <w:r>
        <w:t xml:space="preserve">, Roshen; ZHANG, Qizheng; LEE, Kangwook; KHATTAB, Omar; FINN, Chelsea. </w:t>
      </w:r>
      <w:r>
        <w:rPr>
          <w:b/>
        </w:rPr>
        <w:t>Meta-Harness</w:t>
      </w:r>
      <w:r>
        <w:t xml:space="preserve">: end-to-end optimization of model harnesses. arXiv:2603.28052, 2026. </w:t>
      </w:r>
      <w:r>
        <w:rPr>
          <w:i/>
        </w:rPr>
        <w:t>Preprint</w:t>
      </w:r>
      <w:r>
        <w:t>, não revisado por pares. Disponível em: https://arxiv.org/abs/2603.28052. Acesso em: 9 set. 20</w:t>
      </w:r>
      <w:r>
        <w:t>26.</w:t>
      </w:r>
    </w:p>
    <w:p w:rsidR="00154BDC" w:rsidRDefault="00893410">
      <w:pPr>
        <w:spacing w:after="240" w:line="240" w:lineRule="auto"/>
      </w:pPr>
      <w:r>
        <w:t xml:space="preserve">LIN, Jiahang; LIU, Shichun; PAN, Chengjun; LIN, Lizhi; DOU, Shihan; XI, Zhiheng; HUANG, Xuanjing; YAN, Hang; HAN, Zhenhua; GUI, Tao; JIANG, Yu-Gang. </w:t>
      </w:r>
      <w:r>
        <w:rPr>
          <w:b/>
        </w:rPr>
        <w:t>Agentic harness engineering</w:t>
      </w:r>
      <w:r>
        <w:t>: observability-driven automatic evolution of coding-agent harnesses. arXiv:</w:t>
      </w:r>
      <w:r>
        <w:t xml:space="preserve">2604.25850, 2026. </w:t>
      </w:r>
      <w:r>
        <w:rPr>
          <w:i/>
        </w:rPr>
        <w:t>Preprint</w:t>
      </w:r>
      <w:r>
        <w:t>, não revisado por pares. Disponível em: https://arxiv.org/abs/2604.25850. Acesso em: 28 ago. 2026.</w:t>
      </w:r>
    </w:p>
    <w:p>
      <w:pPr>
        <w:spacing w:after="240" w:line="240" w:lineRule="auto"/>
      </w:pPr>
      <w:r>
        <w:rPr>
          <w:b w:val="0"/>
          <w:i w:val="0"/>
        </w:rPr>
        <w:t xml:space="preserve">MILLER, Evan. </w:t>
      </w:r>
      <w:r>
        <w:rPr>
          <w:b/>
          <w:i w:val="0"/>
        </w:rPr>
        <w:t xml:space="preserve">Adding error bars to evals</w:t>
      </w:r>
      <w:r>
        <w:rPr>
          <w:b w:val="0"/>
          <w:i w:val="0"/>
        </w:rPr>
        <w:t xml:space="preserve">: a statistical approach to language model evaluations. arXiv:2411.00640, 2024. </w:t>
      </w:r>
      <w:r>
        <w:rPr>
          <w:b w:val="0"/>
          <w:i/>
        </w:rPr>
        <w:t xml:space="preserve">Preprint</w:t>
      </w:r>
      <w:r>
        <w:rPr>
          <w:b w:val="0"/>
          <w:i w:val="0"/>
        </w:rPr>
        <w:t xml:space="preserve">, não revisado por pares. Disponível em: https://arxiv.org/abs/2411.00640. Acesso em: 28 ago. 2026.</w:t>
      </w:r>
    </w:p>
    <w:p w:rsidR="00154BDC" w:rsidRDefault="00893410">
      <w:pPr>
        <w:spacing w:after="240" w:line="240" w:lineRule="auto"/>
      </w:pPr>
      <w:r>
        <w:t xml:space="preserve">NING, Xuying </w:t>
      </w:r>
      <w:r>
        <w:rPr>
          <w:i/>
        </w:rPr>
        <w:t>et al.</w:t>
      </w:r>
      <w:r>
        <w:t xml:space="preserve"> </w:t>
      </w:r>
      <w:r>
        <w:rPr>
          <w:b/>
        </w:rPr>
        <w:t>Code as agent harness</w:t>
      </w:r>
      <w:r>
        <w:t>. arXiv:2605.18747, 2</w:t>
      </w:r>
      <w:r>
        <w:t xml:space="preserve">026. </w:t>
      </w:r>
      <w:r>
        <w:rPr>
          <w:i/>
        </w:rPr>
        <w:t>Preprint</w:t>
      </w:r>
      <w:r>
        <w:t>, não revisado por pares. Disponível em: https://arxiv.org/abs/2605.18747. Acesso em: 28 ago. 2026.</w:t>
      </w:r>
    </w:p>
    <w:p>
      <w:pPr>
        <w:spacing w:after="240" w:line="240" w:lineRule="auto"/>
      </w:pPr>
      <w:r>
        <w:rPr>
          <w:b w:val="0"/>
          <w:i w:val="0"/>
        </w:rPr>
        <w:t xml:space="preserve">OPENCODE. OpenCode: the open source coding agent. 2026a. Repositório de código. Disponível em: https://github.com/anomalyco/opencode. Acesso em: 14 set. 2026.</w:t>
      </w:r>
    </w:p>
    <w:p>
      <w:pPr>
        <w:spacing w:after="240" w:line="240" w:lineRule="auto"/>
      </w:pPr>
      <w:r>
        <w:rPr>
          <w:b w:val="0"/>
          <w:i w:val="0"/>
        </w:rPr>
        <w:t xml:space="preserve">OPENCODE. Zen. 2026b. Documentação do produto. Disponível em: https://opencode.ai/docs/zen/. Acesso em: 28 ago. 2026.</w:t>
      </w:r>
    </w:p>
    <w:p w:rsidR="00154BDC" w:rsidRDefault="00893410">
      <w:pPr>
        <w:spacing w:after="240" w:line="240" w:lineRule="auto"/>
      </w:pPr>
      <w:r>
        <w:t xml:space="preserve">RUNTA. </w:t>
      </w:r>
      <w:r>
        <w:rPr>
          <w:b/>
        </w:rPr>
        <w:t>Introducing the FrontierHarness eval</w:t>
      </w:r>
      <w:r>
        <w:t>. 2026. Publicação de blogue institucional. Disponível em: https://runta.com/blog/introducing-frontierharness-eval/. Acesso em: 9 set. 2026.</w:t>
      </w:r>
    </w:p>
    <w:p w:rsidR="00154BDC" w:rsidRDefault="00893410">
      <w:pPr>
        <w:spacing w:after="240" w:line="240" w:lineRule="auto"/>
      </w:pPr>
      <w:r>
        <w:lastRenderedPageBreak/>
        <w:t>WAN</w:t>
      </w:r>
      <w:r>
        <w:t xml:space="preserve">G, Ruhan </w:t>
      </w:r>
      <w:r>
        <w:rPr>
          <w:i/>
        </w:rPr>
        <w:t>et al.</w:t>
      </w:r>
      <w:r>
        <w:t xml:space="preserve"> </w:t>
      </w:r>
      <w:r>
        <w:rPr>
          <w:b/>
        </w:rPr>
        <w:t>Harness Handbook</w:t>
      </w:r>
      <w:r>
        <w:t xml:space="preserve">: making evolving agent harnesses readable, navigable, and editable. arXiv:2607.13285, 2026. </w:t>
      </w:r>
      <w:r>
        <w:rPr>
          <w:i/>
        </w:rPr>
        <w:t>Preprint</w:t>
      </w:r>
      <w:r>
        <w:t>, não revisado por pares. Disponível em: https://arxiv.org/abs/2607.13285. Acesso em: 9 set. 2026.</w:t>
      </w:r>
    </w:p>
    <w:p w:rsidR="00154BDC" w:rsidRDefault="00893410">
      <w:pPr>
        <w:spacing w:after="240" w:line="240" w:lineRule="auto"/>
      </w:pPr>
      <w:r>
        <w:t>YANG, John; JIMENEZ, Car</w:t>
      </w:r>
      <w:r>
        <w:t xml:space="preserve">los E.; WETTIG, Alexander; LIERET, Kilian; YAO, Shunyu; NARASIMHAN, Karthik; PRESS, Ofir. </w:t>
      </w:r>
      <w:r>
        <w:rPr>
          <w:b/>
        </w:rPr>
        <w:t>SWE-agent</w:t>
      </w:r>
      <w:r>
        <w:t>: agent-computer interfaces enable automated software engineering. arXiv:2405.15793, 2024. Trabalho apresentado na Conference on Neural Information Processin</w:t>
      </w:r>
      <w:r>
        <w:t>g Systems (NeurIPS), 2024. Disponível em: https://arxiv.org/abs/2405.15793. Acesso em: 28 ago. 2026.</w:t>
      </w:r>
    </w:p>
    <w:p w:rsidR="00154BDC" w:rsidRDefault="00893410">
      <w:pPr>
        <w:spacing w:after="240" w:line="240" w:lineRule="auto"/>
      </w:pPr>
      <w:r>
        <w:t xml:space="preserve">YAO, Shunyu; ZHAO, Jeffrey; YU, Dian; DU, Nan; SHAFRAN, Izhak; NARASIMHAN, Karthik; CAO, Yuan. </w:t>
      </w:r>
      <w:r>
        <w:rPr>
          <w:b/>
        </w:rPr>
        <w:t>ReAct</w:t>
      </w:r>
      <w:r>
        <w:t xml:space="preserve">: synergizing reasoning and acting in language models. </w:t>
      </w:r>
      <w:r>
        <w:t>arXiv:2210.03629, 2022. Trabalho apresentado na International Conference on Learning Representations (ICLR), 2023. Disponível em: https://arxiv.org/abs/2210.03629. Acesso em: 28 ago. 2026.</w:t>
      </w:r>
    </w:p>
    <w:p>
      <w:pPr>
        <w:spacing w:after="240" w:line="240" w:lineRule="auto"/>
      </w:pPr>
      <w:r>
        <w:rPr>
          <w:b w:val="0"/>
          <w:i w:val="0"/>
        </w:rPr>
        <w:t xml:space="preserve">YUUKIFST. agent-dotfiles: skill Helmsman, mapa de decisões para agentes de codificação. 2026a. Repositório de código. Disponível em: https://github.com/YuukiFST/agent-dotfiles/tree/main/skills/helmsman. Acesso em: 15 set. 2026.</w:t>
      </w:r>
    </w:p>
    <w:p>
      <w:pPr>
        <w:spacing w:after="240" w:line="240" w:lineRule="auto"/>
      </w:pPr>
      <w:r>
        <w:rPr>
          <w:b w:val="0"/>
          <w:i w:val="0"/>
        </w:rPr>
        <w:t xml:space="preserve">YUUKIFST. Finn: SaaS universal de financeiro por voz. 2026b. Repositório de código. Disponível em: https://github.com/YuukiFST/Finn. Acesso em: 14 set. 2026.</w:t>
      </w:r>
    </w:p>
    <w:p>
      <w:pPr>
        <w:spacing w:after="240" w:line="240" w:lineRule="auto"/>
      </w:pPr>
      <w:r>
        <w:rPr>
          <w:b w:val="0"/>
          <w:i w:val="0"/>
        </w:rPr>
        <w:t xml:space="preserve">YUUKIFST. harness-bench: executor, prompts, testes de aceitação, dados brutos e scripts de análise deste projeto. 2026c. Repositório de código. Disponível em: https://github.com/YuukiFST/harness-bench. Acesso em: 28 ago. 2026.</w:t>
      </w:r>
    </w:p>
    <w:p w:rsidR="00154BDC" w:rsidRDefault="00893410">
      <w:pPr>
        <w:spacing w:after="240" w:line="240" w:lineRule="auto"/>
      </w:pPr>
      <w:r>
        <w:t xml:space="preserve">ZHANG, Yunbei; WANG, Janet; GE, Yingqiang; XU, Weijie; HAMM, Jihun; REDDY, Chandan K. </w:t>
      </w:r>
      <w:r>
        <w:rPr>
          <w:b/>
        </w:rPr>
        <w:t>Stop comparing LLM agents without disclosing the harness</w:t>
      </w:r>
      <w:r>
        <w:t xml:space="preserve">. arXiv:2605.23950, 2026. </w:t>
      </w:r>
      <w:r>
        <w:rPr>
          <w:i/>
        </w:rPr>
        <w:t>Preprint</w:t>
      </w:r>
      <w:r>
        <w:t>, não revisado por pares. Disponível em: https://arxiv.org/abs/2605.23950. Acess</w:t>
      </w:r>
      <w:r>
        <w:t>o em: 28 ago. 2026.</w:t>
      </w:r>
    </w:p>
    <w:sectPr w:rsidR="00154BDC" w:rsidSect="00034616">
      <w:headerReference w:type="default" r:id="rId8"/>
      <w:pgSz w:w="11906" w:h="16838"/>
      <w:pgMar w:top="1701" w:right="1134" w:bottom="1134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893410" w:rsidRDefault="00893410">
      <w:pPr>
        <w:spacing w:after="0" w:line="240" w:lineRule="auto"/>
      </w:pPr>
      <w:r>
        <w:separator/>
      </w:r>
    </w:p>
  </w:endnote>
  <w:endnote w:type="continuationSeparator" w:id="0">
    <w:p w:rsidR="00893410" w:rsidRDefault="008934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893410" w:rsidRDefault="00893410">
      <w:pPr>
        <w:spacing w:after="0" w:line="240" w:lineRule="auto"/>
      </w:pPr>
      <w:r>
        <w:separator/>
      </w:r>
    </w:p>
  </w:footnote>
  <w:footnote w:type="continuationSeparator" w:id="0">
    <w:p w:rsidR="00893410" w:rsidRDefault="00893410">
      <w:pPr>
        <w:spacing w:after="0" w:line="240" w:lineRule="auto"/>
      </w:pPr>
      <w:r>
        <w:continuationSeparator/>
      </w:r>
    </w:p>
  </w:footnote>
  <w:footnote w:id="1">
    <w:p w:rsidR="00154BDC" w:rsidRDefault="00893410">
      <w:pPr>
        <w:spacing w:after="0" w:line="240" w:lineRule="auto"/>
        <w:jc w:val="both"/>
      </w:pPr>
      <w:r>
        <w:rPr>
          <w:sz w:val="20"/>
          <w:vertAlign w:val="superscript"/>
        </w:rPr>
        <w:footnoteRef/>
      </w:r>
      <w:r>
        <w:rPr>
          <w:sz w:val="20"/>
        </w:rPr>
        <w:t xml:space="preserve"> Os exemplos de referência do template departamental (Instituto Federal de Mato Grosso, 2022) precedem as edições vigentes da ABNT NBR 6023 e da ABNT NBR 10520, e o template diverge de si mesmo ao alternar entre “Acesso em:” e “Acessado em:” e ao envolver </w:t>
      </w:r>
      <w:r>
        <w:rPr>
          <w:sz w:val="20"/>
        </w:rPr>
        <w:t xml:space="preserve">endereços eletrônicos em colchetes angulares. Onde há contradição interna, seguiu-se a edição vigente: ABNT NBR 6023:2025 na lista de referências, sem colchetes angulares e com “Acesso em:” em todas as entradas, e ABNT NBR 10520:2023 nas citações do corpo </w:t>
      </w:r>
      <w:r>
        <w:rPr>
          <w:sz w:val="20"/>
        </w:rPr>
        <w:t>do texto, com o sobrenome em caixa-alta apenas na lista de referências.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154BDC" w:rsidRDefault="00893410">
    <w:pPr>
      <w:pStyle w:val="Cabealho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4BDC"/>
    <w:rsid w:val="0029639D"/>
    <w:rsid w:val="00326F90"/>
    <w:rsid w:val="00842157"/>
    <w:rsid w:val="0089341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CCD814"/>
  <w14:defaultImageDpi w14:val="300"/>
  <w15:docId w15:val="{E40C0857-ECB4-4D26-98D1-A32179699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AC0DC16-9286-44A0-91D9-09001A66A8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3832</Words>
  <Characters>20694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Desenvolvimento</cp:lastModifiedBy>
  <cp:revision>3</cp:revision>
  <dcterms:created xsi:type="dcterms:W3CDTF">2013-12-23T23:15:00Z</dcterms:created>
  <dcterms:modified xsi:type="dcterms:W3CDTF">2026-09-11T11:07:00Z</dcterms:modified>
  <cp:category/>
</cp:coreProperties>
</file>