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FAUSTO YUUKI T.A FREIRE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 w:val="0"/>
          <w:i w:val="0"/>
          <w:sz w:val="32"/>
        </w:rPr>
        <w:t xml:space="preserve">O HARNESS COMO DECISÃO DO DESENVOLVEDOR: CUSTO POR TAREFA CONCLUÍDA E TAXA DE SUCESSO DE AGENTES DE CODIFICAÇÃO SOB UM MESMO MODELO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FAUSTO YUUKI T.A FREIRE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 xml:space="preserve">O HARNESS COMO DECISÃO DO DESENVOLVEDOR: CUSTO POR TAREFA CONCLUÍDA E TAXA DE SUCESSO DE AGENTES DE CODIFICAÇÃO SOB UM MESMO MODELO</w:t>
      </w:r>
    </w:p>
    <w:p/>
    <w:p/>
    <w:p/>
    <w:p/>
    <w:p>
      <w:pPr>
        <w:spacing w:line="240" w:lineRule="auto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Conclusão de Curso apresentado ao Departamento de Área de Informática do Instituto Federal de Educação, Ciência e Tecnologia de Mato Grosso, Campus Octayde Jorge da Silva, como requisito parcial para a conclusão do curso de Sistemas para Internet.</w:t>
      </w:r>
    </w:p>
    <w:p>
      <w:pPr>
        <w:spacing w:line="240" w:lineRule="auto" w:before="240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Orientadora: Profa. Inara Silva</w:t>
      </w:r>
    </w:p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4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8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8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8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modelo domina a conversa sobre agentes de codificação, mas quem programa escolhe também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é ele que decide quanto do modelo pago vira trabalho entregue. No FrontierHarness (Runta, 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nove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um mesmo modelo ficam entre 50,0% e 66,7% de aprovação, enquanto o custo mediano por tarefa concluída vai de US$ 1,05 a US$ 18,34, variação de 17x.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Alier Forment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medem, para um mesmo modelo sobre uma tarefa fixa, 139x de variação no custo entre </w:t>
      </w:r>
      <w:r>
        <w:rPr>
          <w:rFonts w:ascii="Times New Roman" w:hAnsi="Times New Roman" w:cs="Times New Roman"/>
          <w:b w:val="0"/>
          <w:i/>
          <w:sz w:val="24"/>
        </w:rPr>
        <w:t xml:space="preserve">scaffoldings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concluem a tarefa. Nenhuma dessas comparações diz ao desenvolvedor o que fazer: todas contrastam ferramentas de equipes diferentes. Com a linhagem fixa, a diferença aparece antes do primeiro token: o oh-my-pi,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ascendente, 64.945 contra 5.676, medidos neste projeto. Quanto dessa carga extra chega ao resultado final decide quanto do modelo pago o desenvolvedor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decisão de engenharia do desenvolvedor: seu efeito sobre o custo por tarefa concluída e sobre a taxa de sucesso de agentes de codificação, mantido fixo o modelo de linguagem.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Para o desenvolvedor que já escolheu o modelo, quanto do custo por tarefa concluída e da taxa de sucesso do seu agente de codificação é determinado pelo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ele adota? E quais decisões de projeto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respondem por essa diferença, de modo que ele possa agir sobre elas em vez de apenas trocar de ferramenta às cegas?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quanto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adotado determina o custo por tarefa concluída e a taxa de sucesso de um agente de codificação, isolando decisões específicas de projeto pela comparação entre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e entregar o resultado como critério de escolha reproduzível pelo desenvolvedor.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externo, que é o que o desenvolvedor paga;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7) publicar o </w:t>
      </w:r>
      <w:r>
        <w:rPr>
          <w:rFonts w:ascii="Times New Roman" w:hAnsi="Times New Roman" w:cs="Times New Roman"/>
          <w:b w:val="0"/>
          <w:i/>
          <w:sz w:val="24"/>
        </w:rPr>
        <w:t xml:space="preserve">runner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dados brutos e os scripts de análise, com um procedimento que o desenvolvedor reexecute na própria máquina a custo monetário zero.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Metodologia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pesquisa é aplicada, quali-quantitativa, exploratória e experimental, e o método é dedutivo, porque parte de hipóteses declaradas e as submete a teste. Os dados são coletados por um instrumento próprio, um proxy reverso interposto entre cada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modelo, que conta requisições, tokens e latência da mesma forma para todos os braços. Cada par de braço e tarefa é executado ao menos três vezes sobre uma suíte fixa do DeepSWE, e a comparação é feita por teste pareado sobre o Succ/Mtok de cada tarefa. Espera-se obter a diferença de custo por tarefa concluída e de taxa de sucesso atribuível ao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forma utilizável por quem escolhe a ferramenta. A seção 3 detalha material, método e tratamento estatístico.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H1 — Entre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 para quem paga a conta,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H2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pela qualidade geral da ferramenta nem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os objetivos, a metodologia e as hipóteses.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definem </w:t>
      </w:r>
      <w:r>
        <w:rPr>
          <w:rFonts w:ascii="Times New Roman" w:hAnsi="Times New Roman" w:cs="Times New Roman"/>
          <w:b w:val="0"/>
          <w:i/>
          <w:sz w:val="24"/>
        </w:rPr>
        <w:t xml:space="preserve"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 xml:space="preserve"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horizonte. Wang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descrevem a mesma camada pelo que ela faz: monta os prompts, gerencia o estado, invoca as ferramentas e coordena o laço. É essa camada que muda quando o desenvolvedor troca de ferramenta e mantém o modelo, e os braços vão de um laço ReAct mínimo (Yao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(2024). Que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importa já está estabelecido: Lin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e Zhang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enunciam a </w:t>
      </w:r>
      <w:r>
        <w:rPr>
          <w:rFonts w:ascii="Times New Roman" w:hAnsi="Times New Roman" w:cs="Times New Roman"/>
          <w:b w:val="0"/>
          <w:i/>
          <w:sz w:val="24"/>
        </w:rPr>
        <w:t xml:space="preserve"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segundo a qual, em longo horizonte,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Alier Forment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mostram que o efeito aparece primeiro no custo: em sete </w:t>
      </w:r>
      <w:r>
        <w:rPr>
          <w:rFonts w:ascii="Times New Roman" w:hAnsi="Times New Roman" w:cs="Times New Roman"/>
          <w:b w:val="0"/>
          <w:i/>
          <w:sz w:val="24"/>
        </w:rPr>
        <w:t xml:space="preserve">scaffoldings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cinco modelos sobre uma tarefa fixa, os dois </w:t>
      </w:r>
      <w:r>
        <w:rPr>
          <w:rFonts w:ascii="Times New Roman" w:hAnsi="Times New Roman" w:cs="Times New Roman"/>
          <w:b w:val="0"/>
          <w:i/>
          <w:sz w:val="24"/>
        </w:rPr>
        <w:t xml:space="preserve">scaffoldings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 suporte a MCP saíram de 5,0x a 28x mais baratos que os cinco que o suportam. Somam-se três fontes de prática, não revisadas por pares: o HarnessRank (2026), o estudo da Databricks relatado por Earendil (2026) e o FrontierHarness (Runta, 2026), cujos dados normalizados são públicos (Frontier-Harness-Eval, 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separá-los: o desenvolvedor sabe qual ferramenta ganhou, não o que a fez ganhar. Ning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nomeiam a lacuna em §5.2.1 e pedem em §5.2.7 métricas que isolem componentes. Essas decisões são isoláveis: Lee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otimizam o código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ganham 7,7 pontos usando 4x menos tokens de contexto, e Wang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atacam o passo anterior, o de localizar no código o trecho que produz o comportamento. O par pi / oh-my-pi responde a §5.2.7 pelo lado do controle: um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instrumentação, e atinge o desenvolvedor diretamente, porque ele decide pelo relatório que a ferramenta lhe mostra. O que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um conjunto diferente de chamadas reais ao modelo. Kapoor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 mostram que a avaliação de agentes ignora o custo e por isso erra sobre a origem dos ganhos, e Kapoor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(6)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(2026), a razão que interessa a quem paga a conta. Sobre ela pesa uma ressalva permanente, a de que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 xml:space="preserve"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 xml:space="preserve"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2025), e o FrontierHarness registra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cujo aproveitamento de cache ponderado por tokens cai a 25,0% contra uma mediana de 67,8% (Runta, 2026).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aplicada: seu produto é um critério de escolha que um desenvolvedor pode aplicar hoje. Quanto à abordagem, é quali-quantitativa: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exploratória,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experimental: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variáveis controladas (modelo, tarefa e limites) e um grupo de controle. Quanto ao método, é dedutivo, porque parte de hipóteses declaradas antes da coleta e as submete a teste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2023). A pontuação adotada aqui é o crédito parcial, a fração de testes aprovados do verificador de cada tarefa. É uma adaptação, porque o DeepSWE grada de forma binária e declara a ausência de crédito parcial como limitação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(7)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 xml:space="preserve"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 e 13,6x os tokens. A mesma execução produziu outros dois achados. Os três braços reenviam o histórico completo a cada passo, mas só dois o reenviam íntegro: no quinto passo, o oh-my-pi já substituiu o resultado de ferramenta mais antigo por uma referência de 54 bytes, sem pressão de contexto; além do custo, Liu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(2023) medem queda de desempenho quando a informação relevante fica no meio de um contexto longo. O OpenCode gasta por sessão uma chamada auxiliar de 2.526 bytes que seria cobrada em um nível pago e não aparece no seu próprio relatório, divergência que o objetivo (6) quantifica.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(5)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única, e os valores em dólar citados de fontes externas vêm de outros modelos e de níveis pagos: a comparação válida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ALIER FORMENT, Marc; CASAÑ GUERRERO, María José; GARCÍA-PEÑALVO, Francisco José; PEREIRA, Juanan. </w:t>
      </w:r>
      <w:r>
        <w:rPr>
          <w:rFonts w:ascii="Times New Roman" w:hAnsi="Times New Roman" w:cs="Times New Roman"/>
          <w:b/>
          <w:i w:val="0"/>
          <w:sz w:val="24"/>
        </w:rPr>
        <w:t xml:space="preserve">The scaffolding matters more than the interface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controlled comparison of MCP and CLI tool use across seven agent scaffoldings, five language models, and one software task. arXiv:2608.08654,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https://arxiv.org/abs/2608.08654.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 xml:space="preserve">ABNT NBR 6023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informação e documentação: referências: elaboração.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 xml:space="preserve">ABNT NBR 10520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informação e documentação: citações em documentos: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 xml:space="preserve">ABNT NBR 15287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informação e documentação: projeto de pesquisa: apresentação.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 xml:space="preserve">Pier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 xml:space="preserve"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FRONTIER-HARNESS-EVAL. </w:t>
      </w:r>
      <w:r>
        <w:rPr>
          <w:rFonts w:ascii="Times New Roman" w:hAnsi="Times New Roman" w:cs="Times New Roman"/>
          <w:b/>
          <w:i w:val="0"/>
          <w:sz w:val="24"/>
        </w:rPr>
        <w:t xml:space="preserve">FrontierHarness eval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tarefas, executor e resultados normalizados. 2026. Repositório de código. Disponível em: https://github.com/frontier-harness-eval/eval.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 xml:space="preserve"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 xml:space="preserve">HarnessRank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 xml:space="preserve"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 xml:space="preserve"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 xml:space="preserve">SWE-bench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 xml:space="preserve"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 xml:space="preserve"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LEE, Yoonho; NAIR, Roshen; ZHANG, Qizheng; LEE, Kangwook; KHATTAB, Omar; FINN, Chelsea. </w:t>
      </w:r>
      <w:r>
        <w:rPr>
          <w:rFonts w:ascii="Times New Roman" w:hAnsi="Times New Roman" w:cs="Times New Roman"/>
          <w:b/>
          <w:i w:val="0"/>
          <w:sz w:val="24"/>
        </w:rPr>
        <w:t xml:space="preserve">Meta-Harness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end-to-end optimization of model harnesses. arXiv:2603.28052,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https://arxiv.org/abs/2603.28052.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 xml:space="preserve"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 xml:space="preserve">Lost in the middle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 xml:space="preserve"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 xml:space="preserve"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 xml:space="preserve">Zen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 xml:space="preserve"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RUNTA. </w:t>
      </w:r>
      <w:r>
        <w:rPr>
          <w:rFonts w:ascii="Times New Roman" w:hAnsi="Times New Roman" w:cs="Times New Roman"/>
          <w:b/>
          <w:i w:val="0"/>
          <w:sz w:val="24"/>
        </w:rPr>
        <w:t xml:space="preserve">Introducing the FrontierHarness eval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2026. Publicação de blogue institucional. Disponível em: https://runta.com/blog/introducing-frontierharness-eval/.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WANG, Ruhan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 xml:space="preserve">Harness Handbook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making evolving agent harnesses readable, navigable, and editable. arXiv:2607.13285,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https://arxiv.org/abs/2607.13285.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 xml:space="preserve">SWE-agent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 xml:space="preserve">ReAct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 xml:space="preserve">harness-bench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 xml:space="preserve"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endereços eletrônicos em colchetes angulares. Onde há contradição interna, seguiu-se a edição vigente: ABNT NBR 6023:2025 na lista de referências, sem colchetes angulares e com “Acesso em:” em todas as entradas, e ABNT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