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INSTITUTO FEDERAL DE EDUCAÇÃO, CIÊNCIA E TECNOLOGIA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 MATO GROSSO - CAMPUS OCTAYDE JORGE DA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DIRETORIA DE ENSINO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DEPARTAMENTO DE ÁREA DE INFORMÁTICA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>
      <w:pPr>
        <w:spacing w:after="0" w:line="360" w:lineRule="auto"/>
        <w:jc w:val="center"/>
        <w:rPr/>
      </w:pPr>
      <w:r>
        <w:rPr>
          <w:b w:val="0"/>
          <w:i w:val="0"/>
          <w:bCs w:val="0"/>
          <w:iCs w:val="0"/>
          <w:sz w:val="32"/>
          <w:szCs w:val="32"/>
          <w:rtl w:val="0"/>
        </w:rPr>
        <w:t xml:space="preserve">COMO O HARNESS ALTERA O CUSTO E O DESEMPENHO DE UM MODELO DE LINGUAGEM: TOKENS E TAXA DE SUCESSO DE AGENTES DE CODIFICAÇÃO COM O MODELO FIXO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Cuiabá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>
      <w:pPr>
        <w:spacing w:after="0" w:line="360" w:lineRule="auto"/>
        <w:jc w:val="center"/>
        <w:rPr>
          <w:sz w:val="28"/>
          <w:szCs w:val="28"/>
        </w:rPr>
      </w:pPr>
      <w:r>
        <w:rPr>
          <w:b w:val="0"/>
          <w:i w:val="0"/>
          <w:bCs w:val="0"/>
          <w:iCs w:val="0"/>
          <w:sz w:val="32"/>
          <w:szCs w:val="32"/>
          <w:rtl w:val="0"/>
        </w:rPr>
        <w:t xml:space="preserve">COMO O HARNESS ALTERA O CUSTO E O DESEMPENHO DE UM MODELO DE LINGUAGEM: TOKENS E TAXA DE SUCESSO DE AGENTES DE CODIFICAÇÃO COM O MODELO FIXO</w:t>
      </w:r>
    </w:p>
    <w:p w:rsidR="00000000" w:rsidDel="00000000" w:rsidP="00000000" w:rsidRDefault="00000000" w:rsidRPr="00000000" w14:paraId="00000018">
      <w:pPr>
        <w:spacing w:after="0" w:line="240" w:lineRule="auto"/>
        <w:ind w:left="4535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Projeto de pesquisa apresentado ao Departamento de Área de Informática do Instituto Federal de Educação, Ciência e Tecnologia de Mato Grosso, Campus Octayde Jorge da Silva, na disciplina de Metodologia Científica do curso de Sistemas para Internet.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240" w:line="240" w:lineRule="auto"/>
        <w:ind w:left="4535" w:firstLine="0"/>
        <w:jc w:val="both"/>
        <w:rPr/>
      </w:pPr>
      <w:r w:rsidDel="00000000" w:rsidR="00000000" w:rsidRPr="00000000">
        <w:rPr>
          <w:rtl w:val="0"/>
        </w:rPr>
        <w:t xml:space="preserve">Orientadora: Profa. Inara Silva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Cuiabá</w:t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1 INTRODUÇÃO</w:t>
        <w:tab/>
        <w:t xml:space="preserve">1</w:t>
      </w:r>
    </w:p>
    <w:p w:rsidR="00000000" w:rsidDel="00000000" w:rsidP="00000000" w:rsidRDefault="00000000" w:rsidRPr="00000000" w14:paraId="00000025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2 REFERENCIAL TEÓRICO</w:t>
        <w:tab/>
        <w:t xml:space="preserve">2</w:t>
      </w:r>
    </w:p>
    <w:p w:rsidR="00000000" w:rsidDel="00000000" w:rsidP="00000000" w:rsidRDefault="00000000" w:rsidRPr="00000000" w14:paraId="00000026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3 MATERIAL E MÉTODO</w:t>
        <w:tab/>
        <w:t xml:space="preserve">4</w:t>
      </w:r>
    </w:p>
    <w:p w:rsidR="00000000" w:rsidDel="00000000" w:rsidP="00000000" w:rsidRDefault="00000000" w:rsidRPr="00000000" w14:paraId="00000027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4 ORÇAMENTO</w:t>
        <w:tab/>
        <w:t xml:space="preserve">7</w:t>
      </w:r>
    </w:p>
    <w:p w:rsidR="00000000" w:rsidDel="00000000" w:rsidP="00000000" w:rsidRDefault="00000000" w:rsidRPr="00000000" w14:paraId="00000028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5 CRONOGRAMA</w:t>
        <w:tab/>
        <w:t xml:space="preserve">7</w:t>
      </w:r>
    </w:p>
    <w:p w:rsidR="00000000" w:rsidDel="00000000" w:rsidP="00000000" w:rsidRDefault="00000000" w:rsidRPr="00000000" w14:paraId="00000029">
      <w:pPr>
        <w:tabs>
          <w:tab w:val="right" w:leader="none" w:pos="9071"/>
        </w:tabs>
        <w:spacing w:after="0" w:line="360" w:lineRule="auto"/>
        <w:rPr/>
        <w:sectPr>
          <w:pgSz w:h="16838" w:w="11906" w:orient="portrait"/>
          <w:pgMar w:bottom="1134" w:top="1701" w:left="1701" w:right="1134" w:header="720" w:footer="720"/>
          <w:pgNumType w:start="1"/>
        </w:sectPr>
      </w:pPr>
      <w:r w:rsidDel="00000000" w:rsidR="00000000" w:rsidRPr="00000000">
        <w:rPr>
          <w:rtl w:val="0"/>
        </w:rPr>
        <w:t xml:space="preserve">6 REFERÊNCIAS</w:t>
        <w:tab/>
        <w:t xml:space="preserve">8</w:t>
      </w:r>
    </w:p>
    <w:p w:rsidR="00000000" w:rsidDel="00000000" w:rsidP="00000000" w:rsidRDefault="00000000" w:rsidRPr="00000000" w14:paraId="0000002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Justificativa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Os agentes de codificação avançam em duas frentes: o modelo de linguagem e a camada de software ao redor dele,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(Claude Code, Codex, Cursor, OpenCode, pi), que muda o que o mesmo modelo custa e entrega. No FrontierHarness (Runta, 2026), doze configurações de nove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sobre o mesmo modelo ficam entre 50,0% e 66,7% de aprovação, e o custo por tarefa concluída vai de US$ 1,05 a US$ 18,34; o pi conclui 60,0% a US$ 2,43 e o OpenCode 50,0% a US$ 3,24.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Ferramentas como Next.js, TanStack e Effect também se adaptam ao trabalho de agentes. Escolher o modelo deixou de bastar; o desenvolvedor, na assinatura, e a empresa, em escala, precisam conhecer o que avança junto, e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a parte dessa escolha que ninguém mediu na construção de um produto inteiro. As comparações publicadas usam tarefas isoladas. Este projeto mede esse custo construindo o Finn duas vezes, com o OpenCode e com o pi, sobre o mesmo modelo e a mesma especificação, com os tokens contados fora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</w:t>
      </w:r>
    </w:p>
    <w:p w:rsidR="00000000" w:rsidDel="00000000" w:rsidP="00000000" w:rsidRDefault="00000000" w:rsidRPr="00000000" w14:paraId="0000002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efeito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sobre o custo e o desempenho de um modelo de linguagem fixo: quantos tokens e que taxa de sucesso o mesmo modelo entrega ao construir o mesmo produto sob dois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diferentes.</w:t>
      </w:r>
    </w:p>
    <w:p w:rsidR="00000000" w:rsidDel="00000000" w:rsidP="00000000" w:rsidRDefault="00000000" w:rsidRPr="00000000" w14:paraId="00000030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Problema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Com o modelo já escolhido, quanto mudam o custo em tokens e a taxa de sucesso ao construir o mesmo software com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em vez de outro, e quanto dessa diferença vem da carga fixa que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envia em toda requisição?</w:t>
      </w:r>
    </w:p>
    <w:p w:rsidR="00000000" w:rsidDel="00000000" w:rsidP="00000000" w:rsidRDefault="00000000" w:rsidRPr="00000000" w14:paraId="00000032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 geral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Medir, com o modelo fixo, a diferença de tokens e de taxa de sucesso atribuível ao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na construção do mesmo produto a partir da mesma especificação, com o OpenCode e o pi como braços, separando a parcela que vem da carga fixa por requisição, e entregar o resultado como critério de escolha reproduzível.</w:t>
      </w:r>
    </w:p>
    <w:p w:rsidR="00000000" w:rsidDel="00000000" w:rsidP="00000000" w:rsidRDefault="00000000" w:rsidRPr="00000000" w14:paraId="00000034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1) construir o instrumento externo que conta requisições, tokens e latência por braço;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2) escrever a especificação do Finn em nove unidades, com testes de aceitação do autor;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3) preparar o espaço de trabalho inicial idêntico para os braços, congelado por hash;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4) construir o Finn nos dois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, mesmo modelo e </w:t>
      </w:r>
      <w:r>
        <w:rPr>
          <w:b w:val="0"/>
          <w:i/>
          <w:bCs w:val="0"/>
          <w:iCs w:val="0"/>
          <w:rtl w:val="0"/>
        </w:rPr>
        <w:t xml:space="preserve">prompts</w:t>
      </w:r>
      <w:r>
        <w:rPr>
          <w:b w:val="0"/>
          <w:i w:val="0"/>
          <w:bCs w:val="0"/>
          <w:iCs w:val="0"/>
          <w:rtl w:val="0"/>
        </w:rPr>
        <w:t xml:space="preserve">, com repetição;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5) repetir em um segundo modelo e verificar se a ordenação entre os braços se mantém;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6) medir a divergência entre tokens relatados pelo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medidos no instrumento;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7) publicar executor, </w:t>
      </w:r>
      <w:r>
        <w:rPr>
          <w:b w:val="0"/>
          <w:i/>
          <w:bCs w:val="0"/>
          <w:iCs w:val="0"/>
          <w:rtl w:val="0"/>
        </w:rPr>
        <w:t xml:space="preserve">prompts</w:t>
      </w:r>
      <w:r>
        <w:rPr>
          <w:b w:val="0"/>
          <w:i w:val="0"/>
          <w:bCs w:val="0"/>
          <w:iCs w:val="0"/>
          <w:rtl w:val="0"/>
        </w:rPr>
        <w:t xml:space="preserve">, testes, dados e scripts, reexecutáveis a custo zero.</w:t>
      </w:r>
    </w:p>
    <w:p w:rsidR="00000000" w:rsidDel="00000000" w:rsidP="00000000" w:rsidRDefault="00000000" w:rsidRPr="00000000" w14:paraId="0000003C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Metodologia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Pesquisa aplicada, quali-quantitativa, exploratória e experimental, de método dedutivo. Os dados virão de um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reverso entre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o modelo, que contará requisições, tokens e latência igual para os dois braços. Cada braço construirá o Finn do zero, em nove unidades, ao menos três vezes. Espera-se obter a diferença de tokens e de taxa de sucesso atribuível ao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, comparada por teste pareado por unidade. A seção 3 detalha material, método e estatística.</w:t>
      </w:r>
    </w:p>
    <w:p w:rsidR="00000000" w:rsidDel="00000000" w:rsidP="00000000" w:rsidRDefault="00000000" w:rsidRPr="00000000" w14:paraId="0000003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Hipótese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H1: entre o OpenCode e o pi sobre o mesmo modelo, a diferença de tokens para construir o Finn a partir da mesma especificação é relevante para quem paga, comparável à de trocar de modelo sob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fixo. H1 será refutada se os intervalos de tokens por construção se sobrepuserem e o teste pareado por unidade não apontar diferença.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H2: a carga fixa por requisição (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de sistema e esquemas de ferramenta, medidos na Camada 1) explica a maior parte dessa diferença; o número de passos por unidade, a menor. H2 será refutada se os passos explicarem a maior parte, desfecho possível se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com mais ferramentas concluir a unidade em menos passos.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Este trabalho tem seis seções. A seção 1 traz justificativa, tema, problema, objetivos, metodologia e hipóteses. A seção 2 posiciona o trabalho na literatura e delimita as pendências que ele responde. A seção 3 descreve material e método: classificação, camadas de medição, braços, produto e especificação, limites, estatística e limitações. A seção 4 apresenta o orçamento, a seção 5 o cronograma e a seção 6 as referências.</w:t>
      </w:r>
    </w:p>
    <w:p w:rsidR="00000000" w:rsidDel="00000000" w:rsidP="00000000" w:rsidRDefault="00000000" w:rsidRPr="00000000" w14:paraId="00000042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 REFERENCIAL TEÓRICO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Segundo Ning et al. (2026, §2, tradução nossa),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“converte um modelo de linguagem sem estado em um agente funcional ao ancorar suas saídas em execução externa, estado persistente e realimentação verificável”. Wang et al. (2026) o descrevem pelo que faz: monta os </w:t>
      </w:r>
      <w:r>
        <w:rPr>
          <w:b w:val="0"/>
          <w:i/>
          <w:bCs w:val="0"/>
          <w:iCs w:val="0"/>
          <w:rtl w:val="0"/>
        </w:rPr>
        <w:t xml:space="preserve">prompts</w:t>
      </w:r>
      <w:r>
        <w:rPr>
          <w:b w:val="0"/>
          <w:i w:val="0"/>
          <w:bCs w:val="0"/>
          <w:iCs w:val="0"/>
          <w:rtl w:val="0"/>
        </w:rPr>
        <w:t xml:space="preserve">, gerencia o estado, invoca as ferramentas e coordena o laço. O pi é um laço próximo do ReAct mínimo (Yao et al., 2022), com quatro ferramentas; o OpenCode traz planejamento, compactação, subagentes e permissões. Lin et al. (2026) delimitam o que essa camada contém:</w:t>
      </w:r>
    </w:p>
    <w:p w:rsidR="00000000" w:rsidDel="00000000" w:rsidP="00000000" w:rsidRDefault="00000000" w:rsidRPr="00000000" w14:paraId="00000044">
      <w:pPr>
        <w:spacing w:after="240" w:before="240" w:line="240" w:lineRule="auto"/>
        <w:ind w:left="2268" w:firstLine="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Na prática, esse progresso depende não apenas do modelo de linguagem subjacente, mas igualmente dos componentes de engenharia que o cercam: o prompt de sistema que molda o estilo de trabalho, as ferramentas que expõem o sistema de arquivos e o shell, e o middleware que controla contexto, execução e recuperação. Esse conjunto de componentes externos ao modelo e editáveis é chamado coletivamente de harness do agente. (Lin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et al.</w:t>
      </w:r>
      <w:r w:rsidDel="00000000" w:rsidR="00000000" w:rsidRPr="00000000">
        <w:rPr>
          <w:sz w:val="20"/>
          <w:szCs w:val="20"/>
          <w:rtl w:val="0"/>
        </w:rPr>
        <w:t xml:space="preserve">, 2026, §1, tradução nossa).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rtl w:val="0"/>
        </w:rPr>
        <w:t xml:space="preserve">É só esse conjunto que varia entre os braços deste experimento; o modelo fica fixo.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interface entre modelo e ambiente é objeto de projeto desde Yang et al. (2024). Na Tabela 1 de Lin et al. (2026),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escritos por humanos sobre um modelo congelado (GPT-5.4, Terminal-Bench 2, 89 tarefas) vão de 47,2% de aprovação no OpenCode a 71,9% no Codex, 24,7 pontos percentuais (cálculo do autor). Zhang et al. (2026) enunciam a Binding Constraint Thesis: com modelos de fronteira comparáveis, a parcela do desempenho que vem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comparável ou maior que a do modelo. Em Alier Forment et al. (2026), os dois </w:t>
      </w:r>
      <w:r>
        <w:rPr>
          <w:b w:val="0"/>
          <w:i/>
          <w:bCs w:val="0"/>
          <w:iCs w:val="0"/>
          <w:rtl w:val="0"/>
        </w:rPr>
        <w:t xml:space="preserve">scaffoldings</w:t>
      </w:r>
      <w:r>
        <w:rPr>
          <w:b w:val="0"/>
          <w:i w:val="0"/>
          <w:bCs w:val="0"/>
          <w:iCs w:val="0"/>
          <w:rtl w:val="0"/>
        </w:rPr>
        <w:t xml:space="preserve"> sem MCP saíram de 5,0x a 28x mais baratos que os cinco com MCP, e o pi foi o mais barato. Três fontes não revisadas por pares apontam o mesmo. O HarnessRank (2026) ordena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por aprovação com modelo fixo e publica custo ao lado. No FrontierHarness (Runta, 2026), o Codex conclui 66,7% das tarefas a US$ 3,47 por tarefa e o Claude Code 63,3% a US$ 18,34, 5,3x mais caro (cálculo do autor). A Databricks registra custo por tarefa variando mais de 2x sem mudança de qualidade (Databricks, 2026 apud Earendil, 2026).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primeira pendência é a atribuição. As comparações publicadas usam tarefas isoladas e agregam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, ferramentas, contexto e laço sem separá-los. Ning et al. (2026) nomeiam a lacuna em §5.2.1 e pedem, em §5.2.7, “métricas que isolem componentes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” (Ning et al., 2026, tradução nossa). Lee et al. (2026, Tabela 7) mostram que essas decisões são isoláveis. Uma busca que edita só o código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, com o modelo fixo, chegou a 76,4% no TerminalBench-2 (89 tarefas, Claude Opus 4.6) contra 74,7% do Terminus-KIRA, de onde partiu. Este projeto responde pelo lado da medição e separa, em cada requisição, a carga fixa do conteúdo da conversa, ao longo de um produto completo.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segunda pendência é a instrumentação. O que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relata sobre o próprio custo diverge do que gasta, e cada um omite um conjunto diferente de chamadas ao modelo. Kapoor et al. (2024) mostram que a avaliação de agentes ignora o custo e erra sobre a origem dos ganhos; Kapoor et al. (2025) registram que comparações entre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são raras. A medição deste projeto ocorre em um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externo, e o objetivo (6) quantifica a divergência.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As métricas serão tokens por construção, ao lado da fração de testes aprovados, e o Succ/Mtok (sucessos por milhão de tokens) de Lin et al. (2026). O efeito é específico do modelo e pode inverter de sinal. No Holistic Agent Leaderboard, os modelos da Anthropic vão melhor com o BrowserUse e os da OpenAI com o SeeAct (Kapoor et al., 2025), e o FrontierHarness registra, para o Claude Code, </w:t>
      </w:r>
      <w:r>
        <w:rPr>
          <w:b w:val="0"/>
          <w:i/>
          <w:bCs w:val="0"/>
          <w:iCs w:val="0"/>
          <w:rtl w:val="0"/>
        </w:rPr>
        <w:t xml:space="preserve">cache</w:t>
      </w:r>
      <w:r>
        <w:rPr>
          <w:b w:val="0"/>
          <w:i w:val="0"/>
          <w:bCs w:val="0"/>
          <w:iCs w:val="0"/>
          <w:rtl w:val="0"/>
        </w:rPr>
        <w:t xml:space="preserve"> de 25,0% ponderado por tokens contra 67,8% na célula mediana (Runta, 2026). O desenho terá dois níveis de modelo, com conclusões por nível.</w:t>
      </w:r>
    </w:p>
    <w:p w:rsidR="00000000" w:rsidDel="00000000" w:rsidP="00000000" w:rsidRDefault="00000000" w:rsidRPr="00000000" w14:paraId="0000004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 MATERIAL E MÉTODO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Quanto à finalidade, a pesquisa é aplicada; o produto é um critério de escolha para o desenvolvedor e a empresa. Quanto à abordagem, é quali-quantitativa: tokens e sucesso são medidas quantitativas, e a atribuição da diferença à carga fixa ou aos passos é qualitativa. Quanto aos objetivos, é exploratória; dois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construindo o mesmo produto completo a partir da mesma especificação não têm precedente publicado. Quanto aos procedimentos, é experimental, com variável independente manipulada (o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) e variáveis controladas (modelo, especificação, espaço de trabalho inicial e limites). Quanto ao método, é dedutiva, com hipóteses declaradas antes da coleta.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Duas partes deste projeto usaram um agente de codificação, declarado conforme a Portaria CNPq nº 2.664/2026 (Brasil, 2026). A ferramenta foi o Claude Code; a finalidade, entender o tema, buscar artigos e registrar as decisões de produto e de pilha do Finn antes do experimento. O levantamento das fontes seguiu o </w:t>
      </w:r>
      <w:r>
        <w:rPr>
          <w:b w:val="0"/>
          <w:i/>
          <w:bCs w:val="0"/>
          <w:iCs w:val="0"/>
          <w:rtl w:val="0"/>
        </w:rPr>
        <w:t xml:space="preserve">LLM Wiki</w:t>
      </w:r>
      <w:r>
        <w:rPr>
          <w:b w:val="0"/>
          <w:i w:val="0"/>
          <w:bCs w:val="0"/>
          <w:iCs w:val="0"/>
          <w:rtl w:val="0"/>
        </w:rPr>
        <w:t xml:space="preserve"> de Karpathy (2026), mantido no repositório (YuukiFST, 2026c): fontes brutas guardadas sem alteração, páginas de síntese escritas pelo agente, registro cronológico e fila de revisão. O autor curou as fontes e conferiu cada afirmação citada na obra original. A especificação do Finn usou o Helmsman (YuukiFST, 2026a), rotina do autor que separa o que o sistema faz, respondido só pelo autor, de como construir, decidido pelo agente e registrado em </w:t>
      </w:r>
      <w:r>
        <w:rPr>
          <w:b w:val="0"/>
          <w:i/>
          <w:bCs w:val="0"/>
          <w:iCs w:val="0"/>
          <w:rtl w:val="0"/>
        </w:rPr>
        <w:t xml:space="preserve">ticket</w:t>
      </w:r>
      <w:r>
        <w:rPr>
          <w:b w:val="0"/>
          <w:i w:val="0"/>
          <w:bCs w:val="0"/>
          <w:iCs w:val="0"/>
          <w:rtl w:val="0"/>
        </w:rPr>
        <w:t xml:space="preserve"> com alternativas e critério; decisões que dependem de fato externo passam por subagentes de pesquisa. O autor responde pelo texto final e por cada decisão de produto.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medição terá duas camadas. A Camada 1 mede a forma da requisição contra um </w:t>
      </w:r>
      <w:r>
        <w:rPr>
          <w:b w:val="0"/>
          <w:i/>
          <w:bCs w:val="0"/>
          <w:iCs w:val="0"/>
          <w:rtl w:val="0"/>
        </w:rPr>
        <w:t xml:space="preserve">endpoint</w:t>
      </w:r>
      <w:r>
        <w:rPr>
          <w:b w:val="0"/>
          <w:i w:val="0"/>
          <w:bCs w:val="0"/>
          <w:iCs w:val="0"/>
          <w:rtl w:val="0"/>
        </w:rPr>
        <w:t xml:space="preserve"> simulado: esquemas de ferramenta, bytes de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de sistema e tokens por requisição, na primeira e a cada passo. É determinística, não consome cota e fornece a carga fixa de que H2 depende. A Camada 2 mede a construção do produto contra o modelo real; consome cota e é estocástica. A Camada 2 também diz quanto dessa carga por requisição pesa no resultado.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Os braços serão o OpenCode (Opencode, 2026a) e o pi (Earendil, 2026): código aberto, sem interface (opencode run e pi --mode json) e URL base compatível com a API da OpenAI, o que os faz atravessar 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. O pi envia quatro ferramentas e um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de sistema curto, sem subagentes nem permissões; o OpenCode envia mais esquemas,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maior, subagentes, permissões e compactação de contexto. As versões serão fixadas e registradas no repositório (YuukiFST, 2026c). O projeto escreve apenas o instrumento, os </w:t>
      </w:r>
      <w:r>
        <w:rPr>
          <w:b w:val="0"/>
          <w:i/>
          <w:bCs w:val="0"/>
          <w:iCs w:val="0"/>
          <w:rtl w:val="0"/>
        </w:rPr>
        <w:t xml:space="preserve">prompts</w:t>
      </w:r>
      <w:r>
        <w:rPr>
          <w:b w:val="0"/>
          <w:i w:val="0"/>
          <w:bCs w:val="0"/>
          <w:iCs w:val="0"/>
          <w:rtl w:val="0"/>
        </w:rPr>
        <w:t xml:space="preserve"> e os testes de aceitação.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produto será o Finn, SaaS multiempresa em que a empresa cliente fala com o próprio financeiro por voz e recebe lançamento, relatório e aviso no celular (YuukiFST, 2026b). Produto e pilha foram decididos antes do experimento em 21 </w:t>
      </w:r>
      <w:r>
        <w:rPr>
          <w:b w:val="0"/>
          <w:i/>
          <w:bCs w:val="0"/>
          <w:iCs w:val="0"/>
          <w:rtl w:val="0"/>
        </w:rPr>
        <w:t xml:space="preserve">tickets</w:t>
      </w:r>
      <w:r>
        <w:rPr>
          <w:b w:val="0"/>
          <w:i w:val="0"/>
          <w:bCs w:val="0"/>
          <w:iCs w:val="0"/>
          <w:rtl w:val="0"/>
        </w:rPr>
        <w:t xml:space="preserve"> fechados. A partir deles o autor escreverá uma especificação única, congelada por SHA-256: produto, pilha (TypeScript, TanStack Start, tRPC, Drizzle ORM, PostgreSQL, Vitest), restrições e nove unidades, uma por </w:t>
      </w:r>
      <w:r>
        <w:rPr>
          <w:b w:val="0"/>
          <w:i/>
          <w:bCs w:val="0"/>
          <w:iCs w:val="0"/>
          <w:rtl w:val="0"/>
        </w:rPr>
        <w:t xml:space="preserve">ticket</w:t>
      </w:r>
      <w:r>
        <w:rPr>
          <w:b w:val="0"/>
          <w:i w:val="0"/>
          <w:bCs w:val="0"/>
          <w:iCs w:val="0"/>
          <w:rtl w:val="0"/>
        </w:rPr>
        <w:t xml:space="preserve"> técnico, em ordem de dependência: separação por empresa, governança, </w:t>
      </w:r>
      <w:r>
        <w:rPr>
          <w:b w:val="0"/>
          <w:i/>
          <w:bCs w:val="0"/>
          <w:iCs w:val="0"/>
          <w:rtl w:val="0"/>
        </w:rPr>
        <w:t xml:space="preserve">flags</w:t>
      </w:r>
      <w:r>
        <w:rPr>
          <w:b w:val="0"/>
          <w:i w:val="0"/>
          <w:bCs w:val="0"/>
          <w:iCs w:val="0"/>
          <w:rtl w:val="0"/>
        </w:rPr>
        <w:t xml:space="preserve">, </w:t>
      </w:r>
      <w:r>
        <w:rPr>
          <w:b w:val="0"/>
          <w:i/>
          <w:bCs w:val="0"/>
          <w:iCs w:val="0"/>
          <w:rtl w:val="0"/>
        </w:rPr>
        <w:t xml:space="preserve">pipeline</w:t>
      </w:r>
      <w:r>
        <w:rPr>
          <w:b w:val="0"/>
          <w:i w:val="0"/>
          <w:bCs w:val="0"/>
          <w:iCs w:val="0"/>
          <w:rtl w:val="0"/>
        </w:rPr>
        <w:t xml:space="preserve"> de voz, confirmação da transcrição, auditoria, relatório, agendador e cobrança. O executor invoca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uma vez por unidade, em ordem, com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idêntico para os dois braços; o que o agente construiu em uma unidade é o ponto de partida da seguinte, e o autor não escreve código no espaço de trabalho. A pontuação será a fração dos testes de aceitação aprovados. O autor os escreverá antes da execução, os manterá fora do espaço de trabalho e os rodará sobre uma cópia dele ao fim de cada unidade. Os testes do próprio agente não contam, porque um modelo que alucina uma API escreve testes que simulam a alucinação. Uma unidade conta como concluída quando todos os seus testes passam, e a construção, quando todos passam ao fim.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Serão dois níveis de modelo, primário e de robustez, gratuitos e no mesmo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(Opencode, 2026b), com resultados relatados por nível. Uma inversão da ordenação entre os braços de um nível para o outro será reportada como resultado.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rtl w:val="0"/>
        </w:rPr>
        <w:t xml:space="preserve">O instrumento será um </w:t>
      </w:r>
      <w:r>
        <w:rPr>
          <w:b w:val="0"/>
          <w:i/>
          <w:rtl w:val="0"/>
        </w:rPr>
        <w:t xml:space="preserve">proxy</w:t>
      </w:r>
      <w:r>
        <w:rPr>
          <w:b w:val="0"/>
          <w:i w:val="0"/>
          <w:rtl w:val="0"/>
        </w:rPr>
        <w:t xml:space="preserve"> reverso entre cada braço e o </w:t>
      </w:r>
      <w:r>
        <w:rPr>
          <w:b w:val="0"/>
          <w:i/>
          <w:rtl w:val="0"/>
        </w:rPr>
        <w:t xml:space="preserve">gateway</w:t>
      </w:r>
      <w:r>
        <w:rPr>
          <w:b w:val="0"/>
          <w:i w:val="0"/>
          <w:rtl w:val="0"/>
        </w:rPr>
        <w:t xml:space="preserve">, que forçará o relatório de uso em cada requisição. Os tokens serão contados no </w:t>
      </w:r>
      <w:r>
        <w:rPr>
          <w:b w:val="0"/>
          <w:i/>
          <w:rtl w:val="0"/>
        </w:rPr>
        <w:t xml:space="preserve">proxy</w:t>
      </w:r>
      <w:r>
        <w:rPr>
          <w:b w:val="0"/>
          <w:i w:val="0"/>
          <w:rtl w:val="0"/>
        </w:rPr>
        <w:t xml:space="preserve">, sobre os bytes transmitidos, com um único tokenizador para os dois braços. O relatório do </w:t>
      </w:r>
      <w:r>
        <w:rPr>
          <w:b w:val="0"/>
          <w:i/>
          <w:rtl w:val="0"/>
        </w:rPr>
        <w:t xml:space="preserve">harness</w:t>
      </w:r>
      <w:r>
        <w:rPr>
          <w:b w:val="0"/>
          <w:i w:val="0"/>
          <w:rtl w:val="0"/>
        </w:rPr>
        <w:t xml:space="preserve"> e o do </w:t>
      </w:r>
      <w:r>
        <w:rPr>
          <w:b w:val="0"/>
          <w:i/>
          <w:rtl w:val="0"/>
        </w:rPr>
        <w:t xml:space="preserve">gateway</w:t>
      </w:r>
      <w:r>
        <w:rPr>
          <w:b w:val="0"/>
          <w:i w:val="0"/>
          <w:rtl w:val="0"/>
        </w:rPr>
        <w:t xml:space="preserve"> incluem conteúdo injetado que nenhum braço enviou, um deslocamento aditivo que não se cancela em razão e cobraria de cada braço um excedente proporcional ao número de passos. As contagens do </w:t>
      </w:r>
      <w:r>
        <w:rPr>
          <w:b w:val="0"/>
          <w:i/>
          <w:rtl w:val="0"/>
        </w:rPr>
        <w:t xml:space="preserve">gateway</w:t>
      </w:r>
      <w:r>
        <w:rPr>
          <w:b w:val="0"/>
          <w:i w:val="0"/>
          <w:rtl w:val="0"/>
        </w:rPr>
        <w:t xml:space="preserve"> ficam para verificação cruzada e cálculo de custo, e a divergência será reportada por braço.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Haverá um único limite, idêntico para os dois braços: relógio de parede por unidade, três vezes a maior mediana dos braços nas unidades-piloto. O número de passos não será limitado, porque um teto de passos é decisão de projeto de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apagaria a diferença sob teste. O comprimento máximo de saída será forçado igual pelo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. Os parâmetros de amostragem serão registrados sem normalização. 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não os honra, e Miller (2024) desaconselha mexer na temperatura para reduzir variância. O isolamento de ambiente será verificado por um portão que falha fechado.</w:t>
      </w:r>
    </w:p>
    <w:p>
      <w:pPr>
        <w:spacing w:after="0" w:line="360" w:lineRule="auto"/>
        <w:ind w:firstLine="709"/>
        <w:jc w:val="both"/>
        <w:rPr/>
      </w:pPr>
      <w:r>
        <w:rPr>
          <w:rFonts w:ascii="Gungsuh" w:cs="Gungsuh" w:eastAsia="Gungsuh" w:hAnsi="Gungsuh"/>
          <w:b w:val="0"/>
          <w:i w:val="0"/>
          <w:bCs w:val="0"/>
          <w:iCs w:val="0"/>
          <w:rtl w:val="0"/>
        </w:rPr>
        <w:t xml:space="preserve">Cada célula (braço, nível) receberá n ≥ 3 construções completas após descartes, na função redutora de variância que Miller (2024) atribui à reamostragem. Os resultados sairão como mediana com dispersão; no nível gratuito, requisições idênticas podem variar em tokens de saída. Se a cota não comportar a matriz, a cobertura será reduzida antes das repetições.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medida principal será o total de tokens por construção, sempre ao lado da fração final de testes aprovados, para que um braço que falhe barato não pareça o mais barato. A comparação inferencial será o teste de Wilcoxon dos postos sinalizados, bilateral, α = 0,05, pareado por unidade, sobre tokens por unidade e Succ/Mtok por unidade. O teste é não paramétrico porque nove pares não sustentam suposição distribucional, e pareado porque a dificuldade da unidade é o maior fator de perturbação (Miller, 2024). As unidades não são independentes, pois a seguinte parte do que o mesmo braço construiu; essa dependência é parte do custo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será reportada por unidade. Com n = 3 e 9 unidades, a diferença mínima detectável é de cerca de 0,76σ. Para H2, os tokens de cada unidade serão decompostos em carga fixa (Camada 1 multiplicada pelo número de passos) e conversa, com a parcela de cada uma reportada por unidade e por construção. As predições serão pré-registradas por nível, e um resultado nulo para H2 será reportado.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Cada unidade de cada construção receberá uma classe. Unidade não concluída conta como resultado, com a fração de testes aprovada, e a construção segue, estouro de relógio incluído; repetir converteria indisponibilidade do serviço em diferença entre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. Medição inconfiável descarta a construção inteira, registrada, sem reparo nem repetição. A classe vem do registro do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; o código de saída não discrimina o desfecho.</w:t>
      </w:r>
    </w:p>
    <w:p w:rsidR="00000000" w:rsidDel="00000000" w:rsidP="00000000" w:rsidRDefault="00000000" w:rsidRPr="00000000" w14:paraId="00000056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Limitações e ameaças à validade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projeto parte de quatro limitações. O efeito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específico do modelo e pode inverter de sinal; as conclusões valem por nível, e o objetivo (5) testa isso. O produto é um único SaaS sobre uma única pilha; outras pilhas ficam como trabalho futuro. A especificação é do autor e cada braço carrega os próprios erros de uma unidade à seguinte; a mitigação é a mesma entrada, o mesmo espaço vazio e a comparação pareada por unidade. Como o produto é próprio, os valores absolutos não são comparáveis a placares públicos; a comparação válida é entre os braços, e o custo em dinheiro entra como contrafactual rotulado sobre tarifas pagas publicadas.</w:t>
      </w:r>
    </w:p>
    <w:p w:rsidR="00000000" w:rsidDel="00000000" w:rsidP="00000000" w:rsidRDefault="00000000" w:rsidRPr="00000000" w14:paraId="00000058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 ORÇAMENTO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1 – Orçamento do projeto</w:t>
      </w: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520"/>
        <w:gridCol w:w="2551"/>
        <w:tblGridChange w:id="0">
          <w:tblGrid>
            <w:gridCol w:w="6520"/>
            <w:gridCol w:w="255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Custo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spacing w:after="20" w:before="20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Inferência dos modelos (dois níveis, nível gratuito do gateway)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2"/>
                <w:szCs w:val="22"/>
                <w:rtl w:val="0"/>
              </w:rPr>
              <w:t xml:space="preserve">Harnesses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 e ferramentas (OpenCode e pi, código aberto; Node.js e PostgreSQL)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spacing w:after="20" w:before="20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Máquinas (estação pessoal NixOS e estação pessoal Windows)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 (já disponíveis)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total em dinheiro é zero; o limite é a cota do nível gratuito do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, a ser medida nas unidades-piloto. Cada construção rodará em lotes ao longo de dias, retomada na fronteira entre unidades, e o custo monetário aparecerá só como contrafactual sobre tarifas pagas publicadas.</w:t>
      </w:r>
    </w:p>
    <w:p w:rsidR="00000000" w:rsidDel="00000000" w:rsidP="00000000" w:rsidRDefault="00000000" w:rsidRPr="00000000" w14:paraId="00000066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 CRONOGRAMA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cota gratuita é o limite vinculante, então a cadência é de um lote da matriz por dia. A folga fica na execução da matriz e na escrita da especificação e dos testes. Os meses vão de agosto de 2026 a janeiro de 2027; a escrita do projeto foi concluída em setembro de 2026, mês de entrega, e os experimentos começam em outubro.</w:t>
      </w:r>
    </w:p>
    <w:p w:rsidR="00000000" w:rsidDel="00000000" w:rsidP="00000000" w:rsidRDefault="00000000" w:rsidRPr="00000000" w14:paraId="00000068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2 – Cronograma de execução</w:t>
      </w:r>
      <w:r w:rsidDel="00000000" w:rsidR="00000000" w:rsidRPr="00000000">
        <w:rPr>
          <w:rtl w:val="0"/>
        </w:rPr>
      </w:r>
    </w:p>
    <w:tbl>
      <w:tblPr>
        <w:tblStyle w:val="Table2"/>
        <w:tblW w:w="1002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09"/>
        <w:gridCol w:w="952"/>
        <w:gridCol w:w="952"/>
        <w:gridCol w:w="952"/>
        <w:gridCol w:w="952"/>
        <w:gridCol w:w="952"/>
        <w:gridCol w:w="952"/>
        <w:tblGridChange w:id="0">
          <w:tblGrid>
            <w:gridCol w:w="4309"/>
            <w:gridCol w:w="952"/>
            <w:gridCol w:w="952"/>
            <w:gridCol w:w="952"/>
            <w:gridCol w:w="952"/>
            <w:gridCol w:w="952"/>
            <w:gridCol w:w="9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FASES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AGOSTO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SETEMBRO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OUTUBRO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NOVEMBRO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DEZEMBRO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JANEIRO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LEITURA E LEVANTAMENTO BIBLIOGRÁFICO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DEFINIÇÃO DO TEMA, DO PROBLEMA E DAS HIPÓTESES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CONSTRUÇÃO DO INSTRUMENTO, DA ESPECIFICAÇÃO E DOS TESTES DE ACEITAÇÃO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INTRODUÇÃO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REFERENCIAL TEÓRICO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MATERIAL E MÉTODO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EXECUÇÃO DA MATRIZ DE EXPERIMENTOS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ANÁLISE DOS RESULTADOS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ELABORANDO AS REFERÊNCIAS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REVISÃO FINAL E PREPARAÇÃO DA APRESENTAÇÃO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 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ALIER FORMENT, Marc; CASAÑ GUERRERO, María José; GARCÍA-PEÑALVO, Francisco José; PEREIRA, Juanan. </w:t>
      </w:r>
      <w:r w:rsidDel="00000000" w:rsidR="00000000" w:rsidRPr="00000000">
        <w:rPr>
          <w:b w:val="1"/>
          <w:bCs w:val="1"/>
          <w:rtl w:val="0"/>
        </w:rPr>
        <w:t xml:space="preserve">The scaffolding matters more than the interface</w:t>
      </w:r>
      <w:r w:rsidDel="00000000" w:rsidR="00000000" w:rsidRPr="00000000">
        <w:rPr>
          <w:rtl w:val="0"/>
        </w:rPr>
        <w:t xml:space="preserve">: a controlled comparison of MCP and CLI tool use across seven agent scaffoldings, five language models, and one software task. arXiv:2608.08654,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https://arxiv.org/abs/2608.08654. Acesso em: 9 set. 2026.</w:t>
      </w:r>
    </w:p>
    <w:p w:rsidR="00000000" w:rsidDel="00000000" w:rsidP="00000000" w:rsidRDefault="00000000" w:rsidRPr="00000000" w14:paraId="000000B9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BRASIL. Conselho Nacional de Desenvolvimento Científico e Tecnológico.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Portaria CNPq nº 2.664, de 6 de março de 2026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Institui a Política de Integridade na Atividade Científica do CNPq. Diário Oficial da União: seção 1, Brasília, DF, p. 4, 11 mar. 2026. Disponível em: http://memoria2.cnpq.br/web/guest/view/-/journal_content/56_INSTANCE_0oED/10157/23142775. Acesso em: 11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EARENDIL. </w:t>
      </w:r>
      <w:r w:rsidDel="00000000" w:rsidR="00000000" w:rsidRPr="00000000">
        <w:rPr>
          <w:b w:val="1"/>
          <w:bCs w:val="1"/>
          <w:rtl w:val="0"/>
        </w:rPr>
        <w:t xml:space="preserve">Pi, minimal and performant</w:t>
      </w:r>
      <w:r w:rsidDel="00000000" w:rsidR="00000000" w:rsidRPr="00000000">
        <w:rPr>
          <w:rtl w:val="0"/>
        </w:rPr>
        <w:t xml:space="preserve">. 2026. Publicação de blogue institucional. Disponível em: https://earendil.com/posts/pi-autoresearch-and-databricks/. Acesso em: 28 ago. 2026.</w:t>
      </w:r>
    </w:p>
    <w:p w:rsidR="00000000" w:rsidDel="00000000" w:rsidP="00000000" w:rsidRDefault="00000000" w:rsidRPr="00000000" w14:paraId="000000BB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HARNESSRANK. </w:t>
      </w:r>
      <w:r w:rsidDel="00000000" w:rsidR="00000000" w:rsidRPr="00000000">
        <w:rPr>
          <w:b w:val="1"/>
          <w:bCs w:val="1"/>
          <w:rtl w:val="0"/>
        </w:rPr>
        <w:t xml:space="preserve">HarnessRank</w:t>
      </w:r>
      <w:r w:rsidDel="00000000" w:rsidR="00000000" w:rsidRPr="00000000">
        <w:rPr>
          <w:rtl w:val="0"/>
        </w:rPr>
        <w:t xml:space="preserve">: coding-agent harness rankings. 2026. Disponível em: https://harnessrank.net/. Acesso em: 28 ago. 2026.</w:t>
      </w:r>
    </w:p>
    <w:p w:rsidR="00000000" w:rsidDel="00000000" w:rsidP="00000000" w:rsidRDefault="00000000" w:rsidRPr="00000000" w14:paraId="000000BC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KAPOOR, Sayash; STROEBL, Benedikt; SIEGEL, Zachary S.; NADGIR, Nitya; NARAYANAN, Arvind. </w:t>
      </w:r>
      <w:r w:rsidDel="00000000" w:rsidR="00000000" w:rsidRPr="00000000">
        <w:rPr>
          <w:b w:val="1"/>
          <w:bCs w:val="1"/>
          <w:rtl w:val="0"/>
        </w:rPr>
        <w:t xml:space="preserve">AI agents that matter</w:t>
      </w:r>
      <w:r w:rsidDel="00000000" w:rsidR="00000000" w:rsidRPr="00000000">
        <w:rPr>
          <w:rtl w:val="0"/>
        </w:rPr>
        <w:t xml:space="preserve">. arXiv:2407.01502, 2024.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https://arxiv.org/abs/2407.01502. Acesso em: 28 ago. 2026.</w:t>
      </w:r>
    </w:p>
    <w:p w:rsidR="00000000" w:rsidDel="00000000" w:rsidP="00000000" w:rsidRDefault="00000000" w:rsidRPr="00000000" w14:paraId="000000BD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KAPOOR, Sayash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Holistic Agent Leaderboard</w:t>
      </w:r>
      <w:r w:rsidDel="00000000" w:rsidR="00000000" w:rsidRPr="00000000">
        <w:rPr>
          <w:rtl w:val="0"/>
        </w:rPr>
        <w:t xml:space="preserve">: the missing infrastructure for AI agent evaluation. arXiv:2510.11977, 2025.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https://arxiv.org/abs/2510.11977. Acesso em: 28 ago. 2026.</w:t>
      </w:r>
    </w:p>
    <w:p w:rsidR="00000000" w:rsidDel="00000000" w:rsidP="00000000" w:rsidRDefault="00000000" w:rsidRPr="00000000" w14:paraId="000000BE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KARPATHY, Andrej. LLM Wiki: a pattern for building personal knowledge bases using LLMs. 2026. Gist (GitHub). Disponível em: https://gist.github.com/karpathy/442a6bf555914893e9891c11519de94f.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LEE, Yoonho; NAIR, Roshen; ZHANG, Qizheng; LEE, Kangwook; KHATTAB, Omar; FINN, Chelsea. </w:t>
      </w:r>
      <w:r w:rsidDel="00000000" w:rsidR="00000000" w:rsidRPr="00000000">
        <w:rPr>
          <w:b w:val="1"/>
          <w:bCs w:val="1"/>
          <w:rtl w:val="0"/>
        </w:rPr>
        <w:t xml:space="preserve">Meta-Harness</w:t>
      </w:r>
      <w:r w:rsidDel="00000000" w:rsidR="00000000" w:rsidRPr="00000000">
        <w:rPr>
          <w:rtl w:val="0"/>
        </w:rPr>
        <w:t xml:space="preserve">: end-to-end optimization of model harnesses. arXiv:2603.28052,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https://arxiv.org/abs/2603.28052. Acesso em: 9 set. 2026.</w:t>
      </w:r>
    </w:p>
    <w:p w:rsidR="00000000" w:rsidDel="00000000" w:rsidP="00000000" w:rsidRDefault="00000000" w:rsidRPr="00000000" w14:paraId="000000C0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LIN, Jiahang; LIU, Shichun; PAN, Chengjun; LIN, Lizhi; DOU, Shihan; XI, Zhiheng; HUANG, Xuanjing; YAN, Hang; HAN, Zhenhua; GUI, Tao; JIANG, Yu-Gang. </w:t>
      </w:r>
      <w:r w:rsidDel="00000000" w:rsidR="00000000" w:rsidRPr="00000000">
        <w:rPr>
          <w:b w:val="1"/>
          <w:bCs w:val="1"/>
          <w:rtl w:val="0"/>
        </w:rPr>
        <w:t xml:space="preserve">Agentic harness engineering</w:t>
      </w:r>
      <w:r w:rsidDel="00000000" w:rsidR="00000000" w:rsidRPr="00000000">
        <w:rPr>
          <w:rtl w:val="0"/>
        </w:rPr>
        <w:t xml:space="preserve">: observability-driven automatic evolution of coding-agent harnesses. arXiv:2604.25850,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https://arxiv.org/abs/2604.25850. Acesso em: 28 ago. 2026.</w:t>
      </w:r>
    </w:p>
    <w:p w:rsidR="00000000" w:rsidDel="00000000" w:rsidP="00000000" w:rsidRDefault="00000000" w:rsidRPr="00000000" w14:paraId="000000C1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MILLER, Evan.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Adding error bars to evals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a statistical approach to language model evaluations. arXiv:2411.00640, 2024.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https://arxiv.org/abs/2411.00640.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NING, Xuying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Code as agent harness</w:t>
      </w:r>
      <w:r w:rsidDel="00000000" w:rsidR="00000000" w:rsidRPr="00000000">
        <w:rPr>
          <w:rtl w:val="0"/>
        </w:rPr>
        <w:t xml:space="preserve">. arXiv:2605.18747,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https://arxiv.org/abs/2605.18747. Acesso em: 28 ago. 2026.</w:t>
      </w:r>
    </w:p>
    <w:p w:rsidR="00000000" w:rsidDel="00000000" w:rsidP="00000000" w:rsidRDefault="00000000" w:rsidRPr="00000000" w14:paraId="000000C3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OPENCODE. OpenCode: the open source coding agent. 2026a. Repositório de código. Disponível em: https://github.com/anomalyco/opencode.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OPENCODE. Zen. 2026b. Documentação do produto. Disponível em: https://opencode.ai/docs/zen/.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RUNTA. </w:t>
      </w:r>
      <w:r w:rsidDel="00000000" w:rsidR="00000000" w:rsidRPr="00000000">
        <w:rPr>
          <w:b w:val="1"/>
          <w:bCs w:val="1"/>
          <w:rtl w:val="0"/>
        </w:rPr>
        <w:t xml:space="preserve">Introducing the FrontierHarness eval</w:t>
      </w:r>
      <w:r w:rsidDel="00000000" w:rsidR="00000000" w:rsidRPr="00000000">
        <w:rPr>
          <w:rtl w:val="0"/>
        </w:rPr>
        <w:t xml:space="preserve">. 2026. Publicação de blogue institucional. Disponível em: https://runta.com/blog/introducing-frontierharness-eval/. Acesso em: 9 set. 2026.</w:t>
      </w:r>
    </w:p>
    <w:p w:rsidR="00000000" w:rsidDel="00000000" w:rsidP="00000000" w:rsidRDefault="00000000" w:rsidRPr="00000000" w14:paraId="000000C6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WANG, Ruhan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Harness Handbook</w:t>
      </w:r>
      <w:r w:rsidDel="00000000" w:rsidR="00000000" w:rsidRPr="00000000">
        <w:rPr>
          <w:rtl w:val="0"/>
        </w:rPr>
        <w:t xml:space="preserve">: making evolving agent harnesses readable, navigable, and editable. arXiv:2607.13285,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https://arxiv.org/abs/2607.13285. Acesso em: 9 set. 2026.</w:t>
      </w:r>
    </w:p>
    <w:p w:rsidR="00000000" w:rsidDel="00000000" w:rsidP="00000000" w:rsidRDefault="00000000" w:rsidRPr="00000000" w14:paraId="000000C7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YANG, John; JIMENEZ, Carlos E.; WETTIG, Alexander; LIERET, Kilian; YAO, Shunyu; NARASIMHAN, Karthik; PRESS, Ofir. </w:t>
      </w:r>
      <w:r w:rsidDel="00000000" w:rsidR="00000000" w:rsidRPr="00000000">
        <w:rPr>
          <w:b w:val="1"/>
          <w:bCs w:val="1"/>
          <w:rtl w:val="0"/>
        </w:rPr>
        <w:t xml:space="preserve">SWE-agent</w:t>
      </w:r>
      <w:r w:rsidDel="00000000" w:rsidR="00000000" w:rsidRPr="00000000">
        <w:rPr>
          <w:rtl w:val="0"/>
        </w:rPr>
        <w:t xml:space="preserve">: agent-computer interfaces enable automated software engineering. arXiv:2405.15793, 2024. Trabalho apresentado na Conference on Neural Information Processing Systems (NeurIPS), 2024. Disponível em: https://arxiv.org/abs/2405.15793. Acesso em: 28 ago. 2026.</w:t>
      </w:r>
    </w:p>
    <w:p w:rsidR="00000000" w:rsidDel="00000000" w:rsidP="00000000" w:rsidRDefault="00000000" w:rsidRPr="00000000" w14:paraId="000000C8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YAO, Shunyu; ZHAO, Jeffrey; YU, Dian; DU, Nan; SHAFRAN, Izhak; NARASIMHAN, Karthik; CAO, Yuan.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: synergizing reasoning and acting in language models. arXiv:2210.03629, 2022. Trabalho apresentado na International Conference on Learning Representations (ICLR), 2023. Disponível em: https://arxiv.org/abs/2210.03629. Acesso em: 28 ago. 2026.</w:t>
      </w:r>
    </w:p>
    <w:p w:rsidR="00000000" w:rsidDel="00000000" w:rsidP="00000000" w:rsidRDefault="00000000" w:rsidRPr="00000000" w14:paraId="000000C9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agent-dotfiles: skill Helmsman, mapa de decisões para agentes de codificação. 2026a. Repositório de código. Disponível em: https://github.com/YuukiFST/agent-dotfiles/tree/main/skills/helmsman. Acesso em: 15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Finn: SaaS universal de financeiro por voz. 2026b. Repositório de código. Disponível em: https://github.com/YuukiFST/Finn.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harness-bench: executor, prompts, testes de aceitação, dados brutos e scripts de análise deste projeto. 2026c. Repositório de código. Disponível em: https://github.com/YuukiFST/harness-bench.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ZHANG, Yunbei; WANG, Janet; GE, Yingqiang; XU, Weijie; HAMM, Jihun; REDDY, Chandan K. </w:t>
      </w:r>
      <w:r w:rsidDel="00000000" w:rsidR="00000000" w:rsidRPr="00000000">
        <w:rPr>
          <w:b w:val="1"/>
          <w:bCs w:val="1"/>
          <w:rtl w:val="0"/>
        </w:rPr>
        <w:t xml:space="preserve">Stop comparing LLM agents without disclosing the harness</w:t>
      </w:r>
      <w:r w:rsidDel="00000000" w:rsidR="00000000" w:rsidRPr="00000000">
        <w:rPr>
          <w:rtl w:val="0"/>
        </w:rPr>
        <w:t xml:space="preserve">. arXiv:2605.23950,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https://arxiv.org/abs/2605.23950. Acesso em: 28 ago. 2026.</w:t>
      </w:r>
    </w:p>
    <w:sectPr>
      <w:headerReference r:id="rId6" w:type="default"/>
      <w:type w:val="nextPage"/>
      <w:pgSz w:h="16838" w:w="11906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ungsuh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