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INSTITUTO FEDERAL DE EDUCAÇÃO, CIÊNCIA E TECNOLOGIA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DE MATO GROSSO - CAMPUS OCTAYDE JORGE DA SILVA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DIRETORIA DE ENSINO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DEPARTAMENTO DE ÁREA DE INFORMÁTICA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FAUSTO YUUKI T.A FREIRE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360" w:lineRule="auto"/>
        <w:jc w:val="center"/>
        <w:rPr/>
      </w:pPr>
      <w:r w:rsidDel="00000000" w:rsidR="00000000" w:rsidRPr="00000000">
        <w:rPr>
          <w:b w:val="0"/>
          <w:bCs w:val="0"/>
          <w:i w:val="0"/>
          <w:iCs w:val="0"/>
          <w:sz w:val="32"/>
          <w:szCs w:val="32"/>
          <w:rtl w:val="0"/>
        </w:rPr>
        <w:t xml:space="preserve">O HARNESS NO CUSTO E NO DESEMPENHO DE AGENTES DE CODIFICAÇÃO: TOKENS E TAXA DE SUCESSO COM O MODELO FIXO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Cuiabá</w:t>
      </w:r>
    </w:p>
    <w:p w:rsidR="00000000" w:rsidDel="00000000" w:rsidP="00000000" w:rsidRDefault="00000000" w:rsidRPr="00000000" w14:paraId="00000014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FAUSTO YUUKI T.A FREIRE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360" w:lineRule="auto"/>
        <w:jc w:val="center"/>
        <w:rPr>
          <w:sz w:val="28"/>
          <w:szCs w:val="28"/>
        </w:rPr>
      </w:pPr>
      <w:r w:rsidDel="00000000" w:rsidR="00000000" w:rsidRPr="00000000">
        <w:rPr>
          <w:b w:val="0"/>
          <w:bCs w:val="0"/>
          <w:i w:val="0"/>
          <w:iCs w:val="0"/>
          <w:sz w:val="32"/>
          <w:szCs w:val="32"/>
          <w:rtl w:val="0"/>
        </w:rPr>
        <w:t xml:space="preserve">O HARNESS NO CUSTO E NO DESEMPENHO DE AGENTES DE CODIFICAÇÃO: TOKENS E TAXA DE SUCESSO COM O MODELO FIXO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ind w:left="4535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Projeto de pesquisa apresentado ao Departamento de Área de Informática do Instituto Federal de Educação, Ciência e Tecnologia de Mato Grosso, Campus Octayde Jorge da Silva, na disciplina de Metodologia Científica do curso de Sistemas para Internet.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240" w:line="240" w:lineRule="auto"/>
        <w:ind w:left="4535" w:firstLine="0"/>
        <w:jc w:val="both"/>
        <w:rPr/>
      </w:pPr>
      <w:r w:rsidDel="00000000" w:rsidR="00000000" w:rsidRPr="00000000">
        <w:rPr>
          <w:rtl w:val="0"/>
        </w:rPr>
        <w:t xml:space="preserve">Orientadora: Profa. Inara Silva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Cuiabá</w:t>
      </w:r>
    </w:p>
    <w:p w:rsidR="00000000" w:rsidDel="00000000" w:rsidP="00000000" w:rsidRDefault="00000000" w:rsidRPr="00000000" w14:paraId="00000021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8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SUMÁRIO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1 INTRODUÇÃO</w:t>
        <w:tab/>
        <w:t xml:space="preserve">1</w:t>
      </w:r>
    </w:p>
    <w:p w:rsidR="00000000" w:rsidDel="00000000" w:rsidP="00000000" w:rsidRDefault="00000000" w:rsidRPr="00000000" w14:paraId="00000025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2 REFERENCIAL TEÓRICO</w:t>
        <w:tab/>
        <w:t xml:space="preserve">2</w:t>
      </w:r>
    </w:p>
    <w:p w:rsidR="00000000" w:rsidDel="00000000" w:rsidP="00000000" w:rsidRDefault="00000000" w:rsidRPr="00000000" w14:paraId="00000026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3 MATERIAL E MÉTODO</w:t>
        <w:tab/>
        <w:t xml:space="preserve">3</w:t>
      </w:r>
    </w:p>
    <w:p w:rsidR="00000000" w:rsidDel="00000000" w:rsidP="00000000" w:rsidRDefault="00000000" w:rsidRPr="00000000" w14:paraId="00000027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4 ORÇAMENTO</w:t>
        <w:tab/>
        <w:t xml:space="preserve">5</w:t>
      </w:r>
    </w:p>
    <w:p w:rsidR="00000000" w:rsidDel="00000000" w:rsidP="00000000" w:rsidRDefault="00000000" w:rsidRPr="00000000" w14:paraId="00000028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5 CRONOGRAMA</w:t>
        <w:tab/>
        <w:t xml:space="preserve">5</w:t>
      </w:r>
    </w:p>
    <w:p w:rsidR="00000000" w:rsidDel="00000000" w:rsidP="00000000" w:rsidRDefault="00000000" w:rsidRPr="00000000" w14:paraId="00000029">
      <w:pPr>
        <w:tabs>
          <w:tab w:val="right" w:leader="none" w:pos="9071"/>
        </w:tabs>
        <w:spacing w:after="0" w:line="360" w:lineRule="auto"/>
        <w:rPr/>
        <w:sectPr>
          <w:pgSz w:h="16838" w:w="11906" w:orient="portrait"/>
          <w:pgMar w:bottom="1134" w:top="1701" w:left="1701" w:right="1134" w:header="720" w:footer="720"/>
          <w:pgNumType w:start="1"/>
        </w:sectPr>
      </w:pPr>
      <w:r w:rsidDel="00000000" w:rsidR="00000000" w:rsidRPr="00000000">
        <w:rPr>
          <w:rtl w:val="0"/>
        </w:rPr>
        <w:t xml:space="preserve">6 REFERÊNCIAS</w:t>
        <w:tab/>
        <w:t xml:space="preserve">5</w:t>
      </w:r>
    </w:p>
    <w:p w:rsidR="00000000" w:rsidDel="00000000" w:rsidP="00000000" w:rsidRDefault="00000000" w:rsidRPr="00000000" w14:paraId="0000002A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 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Justificativa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Um </w:t>
      </w:r>
      <w:r>
        <w:rPr>
          <w:b w:val="0"/>
          <w:i/>
          <w:bCs w:val="0"/>
          <w:iCs w:val="0"/>
          <w:rtl w:val="0"/>
        </w:rPr>
        <w:t xml:space="preserve">coding agent</w:t>
      </w:r>
      <w:r>
        <w:rPr>
          <w:b w:val="0"/>
          <w:i w:val="0"/>
          <w:bCs w:val="0"/>
          <w:iCs w:val="0"/>
          <w:rtl w:val="0"/>
        </w:rPr>
        <w:t xml:space="preserve"> tem duas partes: o modelo de linguagem e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, o software ao redor dele que monta o contexto, expõe as ferramentas e conduz a execução. Pan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(2026), da Universidade da Califórnia em Berkeley, avaliaram sete modelos em três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e concluíram que a escolha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influencia notavelmente o custo. No SWE-bench Lite, o Claude Fable 5 resolve 97,8% das tentativas no Claude Code e 96,7% no Pi, e o Claude Code custa cerca do dobro por tentativa (US$ 1,33 contra US$ 0,67).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Quem paga por tokens paga também essa diferença, que os autores chamam de imposto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. Essas medições usam tarefas isoladas de </w:t>
      </w:r>
      <w:r>
        <w:rPr>
          <w:b w:val="0"/>
          <w:i/>
          <w:bCs w:val="0"/>
          <w:iCs w:val="0"/>
          <w:rtl w:val="0"/>
        </w:rPr>
        <w:t xml:space="preserve">benchmarks</w:t>
      </w:r>
      <w:r>
        <w:rPr>
          <w:b w:val="0"/>
          <w:i w:val="0"/>
          <w:bCs w:val="0"/>
          <w:iCs w:val="0"/>
          <w:rtl w:val="0"/>
        </w:rPr>
        <w:t xml:space="preserve"> que os modelos podem ter visto no treino, e os próprios autores apontam como próximo passo medir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em fluxos reais de desenvolvimento, com tarefas de várias sessões. Este projeto constrói o mesmo produto, o Finn, com o OpenCode e com o Pi, sobre o mesmo modelo e a mesma especificação, e conta os tokens fora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.</w:t>
      </w:r>
    </w:p>
    <w:p w:rsidR="00000000" w:rsidDel="00000000" w:rsidP="00000000" w:rsidRDefault="00000000" w:rsidRPr="00000000" w14:paraId="0000002E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O efeito do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sobre o custo e o desempenho de um modelo de linguagem fixo na construção de um produto de software completo.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Problema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Com o modelo fixo, quanto a escolha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pode influenciar no custo e na taxa de sucesso ao construir o mesmo software com um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em vez de outro?</w:t>
      </w:r>
    </w:p>
    <w:p w:rsidR="00000000" w:rsidDel="00000000" w:rsidP="00000000" w:rsidRDefault="00000000" w:rsidRPr="00000000" w14:paraId="00000032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 geral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Medir, com o modelo fixo, a diferença de tokens e de taxa de sucesso atribuível ao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na construção do mesmo produto a partir da mesma especificação, com o OpenCode e o Pi como braços, e separar a parcela que vem da carga fixa por requisição.</w:t>
      </w:r>
    </w:p>
    <w:p w:rsidR="00000000" w:rsidDel="00000000" w:rsidP="00000000" w:rsidRDefault="00000000" w:rsidRPr="00000000" w14:paraId="00000034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Objetivos específicos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360" w:lineRule="auto"/>
        <w:ind w:left="709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1) construir 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proxy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que conta requisições, tokens e latência por braço;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2) construir o Finn de referência e extrair dele a especificação e os testes;</w:t>
      </w:r>
    </w:p>
    <w:p w:rsidR="00000000" w:rsidDel="00000000" w:rsidP="00000000" w:rsidRDefault="00000000" w:rsidRPr="00000000" w14:paraId="00000037">
      <w:pPr>
        <w:spacing w:after="0" w:line="360" w:lineRule="auto"/>
        <w:ind w:left="709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3) construir o Finn nos dois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harnesses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com o mesmo modelo,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prompt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e espaço inicial;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360" w:lineRule="auto"/>
        <w:ind w:left="709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4) repetir em um segundo modelo e verificar se a ordenação dos braços se mantém;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="360" w:lineRule="auto"/>
        <w:ind w:left="709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5) comparar os tokens relatados por cada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com os medidos no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proxy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="360" w:lineRule="auto"/>
        <w:ind w:left="709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6) publicar executor,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prompts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testes, dados e scripts de análise.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Metodologia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Pesquisa aplicada, quali-quantitativa, exploratória e experimental, de método dedutivo. Um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 reverso entre cada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 o modelo contará requisições, tokens e latência da mesma forma para os dois braços. Cada braço construirá o Finn do zero ao menos três vezes, a partir da especificação extraída do Finn de referência do autor, e a diferença entre os braços será comparada unidade a unidade.</w:t>
      </w:r>
    </w:p>
    <w:p w:rsidR="00000000" w:rsidDel="00000000" w:rsidP="00000000" w:rsidRDefault="00000000" w:rsidRPr="00000000" w14:paraId="0000003D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Hipótese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H1: com o modelo fixo,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muda mais o custo do que o sucesso. Os tokens por unidade diferem entre o OpenCode e o Pi, e a fração de testes aprovados fica igual. H1 será refutada se o teste pareado não apontar diferença de tokens ou se a fração final de testes aprovados diferir.</w:t>
      </w:r>
    </w:p>
    <w:p w:rsidR="00000000" w:rsidDel="00000000" w:rsidP="00000000" w:rsidRDefault="00000000" w:rsidRPr="00000000" w14:paraId="0000003F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H2: a carga fixa por requisição (</w:t>
      </w:r>
      <w:r w:rsidDel="00000000" w:rsidR="00000000" w:rsidRPr="00000000">
        <w:rPr>
          <w:i w:val="1"/>
          <w:iCs w:val="1"/>
          <w:rtl w:val="0"/>
        </w:rPr>
        <w:t xml:space="preserve">system prompt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e esquemas de ferramenta) explica a maior parte da diferença de tokens, e o número de passos explica a menor. H2 será refutada se os passos ou o conteúdo da conversa explicarem a maior parte.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Após esta introdução, a seção 2 apresenta o referencial teórico e a seção 3, o material e método. As seções 4, 5 e 6 trazem o orçamento, o cronograma e as referências.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 REFERENCIAL TEÓRICO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Segundo Ning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(2026, §2, tradução nossa), um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“converte um modelo de linguagem sem estado em um agente funcional ao ancorar suas saídas em execução externa, estado persistente e realimentação verificável”. Lin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(2026) delimitam o que essa camada contém:</w:t>
      </w:r>
      <w:r w:rsidDel="00000000" w:rsidR="00000000" w:rsidRPr="00000000">
        <w:rPr>
          <w:rtl w:val="0"/>
        </w:rPr>
      </w:r>
    </w:p>
    <w:p>
      <w:pPr>
        <w:spacing w:after="240" w:before="240" w:line="240" w:lineRule="auto"/>
        <w:ind w:left="2268" w:firstLine="0"/>
        <w:jc w:val="both"/>
        <w:rPr/>
      </w:pPr>
      <w:r>
        <w:rPr>
          <w:b w:val="0"/>
          <w:i w:val="0"/>
          <w:sz w:val="20"/>
          <w:szCs w:val="20"/>
          <w:rtl w:val="0"/>
        </w:rPr>
        <w:t xml:space="preserve">Na prática, esse progresso depende não apenas do modelo de linguagem subjacente, mas igualmente dos componentes de engenharia que o cercam: o </w:t>
      </w:r>
      <w:r>
        <w:rPr>
          <w:b w:val="0"/>
          <w:i/>
          <w:sz w:val="20"/>
          <w:szCs w:val="20"/>
          <w:rtl w:val="0"/>
        </w:rPr>
        <w:t xml:space="preserve">system prompt</w:t>
      </w:r>
      <w:r>
        <w:rPr>
          <w:b w:val="0"/>
          <w:i w:val="0"/>
          <w:sz w:val="20"/>
          <w:szCs w:val="20"/>
          <w:rtl w:val="0"/>
        </w:rPr>
        <w:t xml:space="preserve"> que molda o estilo de trabalho, as ferramentas que expõem o sistema de arquivos e o shell, e o middleware que controla contexto, execução e recuperação. Esse conjunto de componentes externos ao modelo e editáveis é chamado coletivamente de harness do agente. (Lin </w:t>
      </w:r>
      <w:r>
        <w:rPr>
          <w:b w:val="0"/>
          <w:i/>
          <w:sz w:val="20"/>
          <w:szCs w:val="20"/>
          <w:rtl w:val="0"/>
        </w:rPr>
        <w:t xml:space="preserve">et al.</w:t>
      </w:r>
      <w:r>
        <w:rPr>
          <w:b w:val="0"/>
          <w:i w:val="0"/>
          <w:sz w:val="20"/>
          <w:szCs w:val="20"/>
          <w:rtl w:val="0"/>
        </w:rPr>
        <w:t xml:space="preserve">, 2026, §1, tradução nossa).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Só esse conjunto varia entre os braços deste experimento. O Pi envia quatro ferramentas e um </w:t>
      </w:r>
      <w:r>
        <w:rPr>
          <w:b w:val="0"/>
          <w:i/>
          <w:bCs w:val="0"/>
          <w:iCs w:val="0"/>
          <w:rtl w:val="0"/>
        </w:rPr>
        <w:t xml:space="preserve">system prompt</w:t>
      </w:r>
      <w:r>
        <w:rPr>
          <w:b w:val="0"/>
          <w:i w:val="0"/>
          <w:bCs w:val="0"/>
          <w:iCs w:val="0"/>
          <w:rtl w:val="0"/>
        </w:rPr>
        <w:t xml:space="preserve"> curto, e o OpenCode envia mais ferramentas, um 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maior, subagentes e permissões.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Na Tabela 1 de Lin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(2026),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escritos por humanos sobre o GPT-5.4 vão de 47,2% de aprovação no OpenCode a 71,9% no Codex, no Terminal-Bench 2. Zhang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sustentam que, entre modelos de fronteira comparáveis, a parcela do desempenho que vem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é comparável ou maior que a do modelo. Pan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mediram outra coisa no SWE-bench Lite: o efeito médio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sobre a taxa de sucesso ficou dentro de ±2%, enquanto o Claude Code custou cerca de 2,0 vezes o Pi. Como as fontes divergem sobre o sucesso, este projeto mede sucesso e custo juntos.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primeira pendência é saber de onde vem a diferença de custo. Pan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apontam a primeira requisição. O contexto inicial do Claude Code passa de dez vezes o do Pi, com número de turnos parecido (15,3 contra 15,4 no Claude Fable 5). Liu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apontam o resto da conversa. Mudando só a execução das ações, a compactação de contexto e o tratamento das observações, cortaram de 44,7% a 49,0% dos tokens em relação ao Pi e mantiveram de 93,7% a 94,3% da pontuação dele. Ning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(2026, §5.2.7, tradução nossa) pedem “métricas que isolem componentes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”, e H2 testa se pesa mais a carga fixa ou a conversa.</w:t>
      </w:r>
    </w:p>
    <w:p w:rsidR="00000000" w:rsidDel="00000000" w:rsidP="00000000" w:rsidRDefault="00000000" w:rsidRPr="00000000" w14:paraId="00000047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A segunda pendência é a instrumentação. Cada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conta turnos e tokens do seu jeito, e Pan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(2026) registram que a definição de turno varia entre eles. Aqui a medição ocorre em um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proxy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externo, igual para os dois braços, e o objetivo (5) compara essa medida com o relato de cada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As métricas serão tokens por construção, ao lado da fração de testes aprovados, e o Succ/Mtok (sucessos por milhão de tokens) de Lin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(2026). O efeito também depende do modelo, pois em nove de doze comparações de Pan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(2026) o maior sucesso veio de um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de outro fornecedor. Por isso o desenho terá dois níveis de modelo.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 MATERIAL E MÉTODO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A pesquisa é aplicada quanto à finalidade, quali-quantitativa quanto à abordagem, exploratória quanto aos objetivos, experimental quanto aos procedimentos e dedutiva quanto ao método. É exploratória porque não há comparação publicada de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harnesses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construindo o mesmo produto completo. 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é a variável manipulada, e modelo, especificação, espaço de trabalho inicial e limites ficam controlados.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Declara-se o uso do Claude Code no levantamento das fontes, organizado pelo método </w:t>
      </w:r>
      <w:r>
        <w:rPr>
          <w:b w:val="0"/>
          <w:i/>
          <w:bCs w:val="0"/>
          <w:iCs w:val="0"/>
          <w:rtl w:val="0"/>
        </w:rPr>
        <w:t xml:space="preserve">LLM Wiki</w:t>
      </w:r>
      <w:r>
        <w:rPr>
          <w:b w:val="0"/>
          <w:i w:val="0"/>
          <w:bCs w:val="0"/>
          <w:iCs w:val="0"/>
          <w:rtl w:val="0"/>
        </w:rPr>
        <w:t xml:space="preserve"> de Karpathy (2026) no repositório do projeto (YuukiFST, 2026c), nas decisões do Finn, mapeadas com o Helmsman (YuukiFST, 2026a), e na sua versão de referência. O autor conferiu cada afirmação citada na obra original e responde pelo texto e pelas decisões de produto.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medição terá duas camadas. A Camada 1 mede, contra um </w:t>
      </w:r>
      <w:r>
        <w:rPr>
          <w:b w:val="0"/>
          <w:i/>
          <w:bCs w:val="0"/>
          <w:iCs w:val="0"/>
          <w:rtl w:val="0"/>
        </w:rPr>
        <w:t xml:space="preserve">endpoint</w:t>
      </w:r>
      <w:r>
        <w:rPr>
          <w:b w:val="0"/>
          <w:i w:val="0"/>
          <w:bCs w:val="0"/>
          <w:iCs w:val="0"/>
          <w:rtl w:val="0"/>
        </w:rPr>
        <w:t xml:space="preserve"> simulado, os esquemas de ferramenta, o </w:t>
      </w:r>
      <w:r>
        <w:rPr>
          <w:b w:val="0"/>
          <w:i/>
          <w:bCs w:val="0"/>
          <w:iCs w:val="0"/>
          <w:rtl w:val="0"/>
        </w:rPr>
        <w:t xml:space="preserve">system prompt</w:t>
      </w:r>
      <w:r>
        <w:rPr>
          <w:b w:val="0"/>
          <w:i w:val="0"/>
          <w:bCs w:val="0"/>
          <w:iCs w:val="0"/>
          <w:rtl w:val="0"/>
        </w:rPr>
        <w:t xml:space="preserve"> e os tokens de cada requisição, ou seja, a carga fixa de cada braço sem tarefa. A Camada 2 mede a construção do produto contra o modelo real.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Os braços serão o OpenCode (Opencode, 2026a) e o Pi (Earendil, 2026). Os dois são de código aberto, rodam sem interface e aceitam URL base compatível com a API da OpenAI, o que permite passá-los pelo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. As versões serão fixadas e registradas no repositório (YuukiFST, 2026c).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 produto será o Finn, SaaS multiempresa em que a empresa cliente fala com o próprio financeiro por voz e recebe lançamento, relatório e aviso no celular (YuukiFST, 2026b), decidido em 21 </w:t>
      </w:r>
      <w:r>
        <w:rPr>
          <w:b w:val="0"/>
          <w:i/>
          <w:bCs w:val="0"/>
          <w:iCs w:val="0"/>
          <w:rtl w:val="0"/>
        </w:rPr>
        <w:t xml:space="preserve">tickets</w:t>
      </w:r>
      <w:r>
        <w:rPr>
          <w:b w:val="0"/>
          <w:i w:val="0"/>
          <w:bCs w:val="0"/>
          <w:iCs w:val="0"/>
          <w:rtl w:val="0"/>
        </w:rPr>
        <w:t xml:space="preserve">. O autor construirá antes uma versão de referência e marcará no git o fim de cada etapa. Dela sairá a especificação, congelada por SHA-256: produto, pilha, interface dos testes e funcionalidades em JSON, no formato de Young (2025), uma unidade por etapa, ao menos seis. O executor chama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uma vez por unidade, com o mesmo 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nos dois braços, e cada unidade parte do que o agente construiu na anterior. Nenhum código do autor entra no espaço de trabalho.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pontuação será a fração dos testes de aceitação aprovados. O autor escreverá os testes antes da execução, fora do espaço de trabalho, e os rodará sobre uma cópia dele ao fim de cada unidade. Todos devem passar antes na referência, no marco da etapa. Os testes escritos pelo agente não contam, e uma unidade conta como concluída quando todos os seus testes passam.</w:t>
      </w:r>
    </w:p>
    <w:p w:rsidR="00000000" w:rsidDel="00000000" w:rsidP="00000000" w:rsidRDefault="00000000" w:rsidRPr="00000000" w14:paraId="00000050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Serão dois níveis de modelo, primário e de robustez, ambos gratuitos no mesmo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gateway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(Opencode, 2026b), com resultados relatados por nível. Se a ordenação dos braços inverter de um nível para o outro, a inversão será reportada como resultado.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 guardará os tokens que o </w:t>
      </w:r>
      <w:r>
        <w:rPr>
          <w:b w:val="0"/>
          <w:i/>
          <w:bCs w:val="0"/>
          <w:iCs w:val="0"/>
          <w:rtl w:val="0"/>
        </w:rPr>
        <w:t xml:space="preserve">gateway</w:t>
      </w:r>
      <w:r>
        <w:rPr>
          <w:b w:val="0"/>
          <w:i w:val="0"/>
          <w:bCs w:val="0"/>
          <w:iCs w:val="0"/>
          <w:rtl w:val="0"/>
        </w:rPr>
        <w:t xml:space="preserve"> informa em cada resposta, com o cache à parte, e separará em cada requisição a carga fixa (</w:t>
      </w:r>
      <w:r>
        <w:rPr>
          <w:b w:val="0"/>
          <w:i/>
          <w:bCs w:val="0"/>
          <w:iCs w:val="0"/>
          <w:rtl w:val="0"/>
        </w:rPr>
        <w:t xml:space="preserve">system prompt</w:t>
      </w:r>
      <w:r>
        <w:rPr>
          <w:b w:val="0"/>
          <w:i w:val="0"/>
          <w:bCs w:val="0"/>
          <w:iCs w:val="0"/>
          <w:rtl w:val="0"/>
        </w:rPr>
        <w:t xml:space="preserve"> e ferramentas) do resto da conversa, para H2. A contagem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serve só para verificação cruzada.</w:t>
      </w:r>
    </w:p>
    <w:p w:rsidR="00000000" w:rsidDel="00000000" w:rsidP="00000000" w:rsidRDefault="00000000" w:rsidRPr="00000000" w14:paraId="00000052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Haverá um único limite, igual para os dois braços: tempo de relógio por unidade, de três vezes a maior mediana dos braços nas unidades-piloto. O número de passos fica livre, porque um teto de passos é decisão de projeto de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e apagaria a diferença sob teste.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="360" w:lineRule="auto"/>
        <w:ind w:firstLine="709"/>
        <w:jc w:val="both"/>
        <w:rPr/>
      </w:pPr>
      <w:r w:rsidDel="00000000" w:rsidR="00000000" w:rsidRPr="00000000">
        <w:rPr>
          <w:rFonts w:ascii="Gungsuh" w:cs="Gungsuh" w:eastAsia="Gungsuh" w:hAnsi="Gungsuh"/>
          <w:b w:val="0"/>
          <w:bCs w:val="0"/>
          <w:i w:val="0"/>
          <w:iCs w:val="0"/>
          <w:rtl w:val="0"/>
        </w:rPr>
        <w:t xml:space="preserve">Cada combinação de braço e nível terá ao menos três construções completas válidas, relatadas em mediana e dispersão.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comparação usará o teste de Wilcoxon dos postos sinalizados, bilateral, α = 0,05, sobre tokens e Succ/Mtok, pareado por unidade porque a dificuldade da unidade é a maior fonte de variação (Miller, 2024). O resultado principal será a razão entre as medianas de tokens por construção dos braços. A fração de testes aprovados será relatada sem teste, pois um empate em 100% não deixa diferença a testar. As predições serão registradas antes da coleta.</w:t>
      </w:r>
    </w:p>
    <w:p w:rsidR="00000000" w:rsidDel="00000000" w:rsidP="00000000" w:rsidRDefault="00000000" w:rsidRPr="00000000" w14:paraId="00000055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Unidade não concluída conta como resultado, com a fração de testes aprovada, e a construção segue. Medição não confiável, como a troca do modelo servido no meio da coleta, descarta a construção inteira.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Limitações e ameaças à validade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 projeto tem quatro limitações. O efeito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depende do modelo, então as conclusões valem por nível. O produto é um único SaaS, especificado a partir da solução do autor. Cada braço carrega os próprios erros de uma unidade à seguinte, então as unidades não são independentes, embora o teste de Wilcoxon suponha que sejam; o valor-p será lido como indicativo, ao lado da diferença e da dispersão. Por fim, o nível gratuito do </w:t>
      </w:r>
      <w:r>
        <w:rPr>
          <w:b w:val="0"/>
          <w:i/>
          <w:bCs w:val="0"/>
          <w:iCs w:val="0"/>
          <w:rtl w:val="0"/>
        </w:rPr>
        <w:t xml:space="preserve">gateway</w:t>
      </w:r>
      <w:r>
        <w:rPr>
          <w:b w:val="0"/>
          <w:i w:val="0"/>
          <w:bCs w:val="0"/>
          <w:iCs w:val="0"/>
          <w:rtl w:val="0"/>
        </w:rPr>
        <w:t xml:space="preserve"> pode trocar o modelo ou cortar a cota durante a coleta.</w:t>
      </w:r>
    </w:p>
    <w:p w:rsidR="00000000" w:rsidDel="00000000" w:rsidP="00000000" w:rsidRDefault="00000000" w:rsidRPr="00000000" w14:paraId="00000058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 ORÇAMENTO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1"/>
        <w:spacing w:after="40" w:before="12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Tabela 1 – Orçamento do projeto</w:t>
      </w:r>
      <w:r w:rsidDel="00000000" w:rsidR="00000000" w:rsidRPr="00000000">
        <w:rPr>
          <w:rtl w:val="0"/>
        </w:rPr>
      </w:r>
    </w:p>
    <w:tbl>
      <w:tblPr>
        <w:tblStyle w:val="Table1"/>
        <w:tblW w:w="907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520"/>
        <w:gridCol w:w="2551"/>
        <w:tblGridChange w:id="0">
          <w:tblGrid>
            <w:gridCol w:w="6520"/>
            <w:gridCol w:w="255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Custo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spacing w:after="20" w:before="20" w:lineRule="auto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Inferência dos modelos (dois níveis, nível gratuito do 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sz w:val="22"/>
                <w:szCs w:val="22"/>
                <w:rtl w:val="0"/>
              </w:rPr>
              <w:t xml:space="preserve">gateway</w:t>
            </w:r>
            <w:r w:rsidDel="00000000" w:rsidR="00000000" w:rsidRPr="00000000">
              <w:rPr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spacing w:after="20" w:before="20" w:lineRule="auto"/>
              <w:rPr/>
            </w:pPr>
            <w:r w:rsidDel="00000000" w:rsidR="00000000" w:rsidRPr="00000000">
              <w:rPr>
                <w:b w:val="0"/>
                <w:bCs w:val="0"/>
                <w:i w:val="1"/>
                <w:iCs w:val="1"/>
                <w:sz w:val="22"/>
                <w:szCs w:val="22"/>
                <w:rtl w:val="0"/>
              </w:rPr>
              <w:t xml:space="preserve">Harnesses</w:t>
            </w:r>
            <w:r w:rsidDel="00000000" w:rsidR="00000000" w:rsidRPr="00000000">
              <w:rPr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 e ferramentas de código aberto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spacing w:after="20" w:before="20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Hardware (PC pessoal, NixOS)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after="20" w:before="20" w:lineRule="auto"/>
              <w:jc w:val="center"/>
              <w:rPr/>
            </w:pPr>
            <w:r>
              <w:rPr>
                <w:b w:val="0"/>
                <w:i w:val="0"/>
                <w:sz w:val="22"/>
                <w:szCs w:val="22"/>
                <w:rtl w:val="0"/>
              </w:rPr>
              <w:t xml:space="preserve">R$ 0,00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spacing w:after="120" w:before="4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 CRONOGRAMA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1"/>
        <w:spacing w:after="40" w:before="12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Tabela 2 – Cronograma de execução</w:t>
      </w:r>
      <w:r w:rsidDel="00000000" w:rsidR="00000000" w:rsidRPr="00000000">
        <w:rPr>
          <w:rtl w:val="0"/>
        </w:rPr>
      </w:r>
    </w:p>
    <w:tbl>
      <w:tblPr>
        <w:tblStyle w:val="Table2"/>
        <w:tblW w:w="9071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CellMar>
          <w:left w:w="57" w:type="dxa"/>
          <w:right w:w="57" w:type="dxa"/>
        </w:tblCellMar>
        <w:tblLook w:val="0400"/>
      </w:tblPr>
      <w:tblGrid>
        <w:gridCol w:w="5411"/>
        <w:gridCol w:w="1220"/>
        <w:gridCol w:w="1220"/>
        <w:gridCol w:w="1220"/>
        <w:tblGridChange w:id="0">
          <w:tblGrid>
            <w:gridCol w:w="5411"/>
            <w:gridCol w:w="1220"/>
            <w:gridCol w:w="1220"/>
            <w:gridCol w:w="12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FASES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AGOSTO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SETEMBRO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OUTUBRO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LEITURA E LEVANTAMENTO BIBLIOGRÁFICO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spacing w:after="20" w:before="20" w:lineRule="auto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 xml:space="preserve">DEFINIÇÃO DO TEMA E DAS HIPÓTESES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>
            <w:pPr>
              <w:spacing w:after="20" w:before="20" w:lineRule="auto"/>
              <w:rPr/>
            </w:pPr>
            <w:r>
              <w:rPr>
                <w:b w:val="0"/>
                <w:i w:val="0"/>
                <w:bCs w:val="0"/>
                <w:iCs w:val="0"/>
                <w:sz w:val="18"/>
                <w:szCs w:val="18"/>
                <w:rtl w:val="0"/>
              </w:rPr>
              <w:t xml:space="preserve">FINN DE REFERÊNCIA, PROXY E TESTES</w:t>
            </w:r>
          </w:p>
        </w:tc>
        <w:tc>
          <w:tcPr/>
          <w:p w:rsidR="00000000" w:rsidDel="00000000" w:rsidP="00000000" w:rsidRDefault="00000000" w:rsidRPr="00000000" w14:paraId="0000007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INTRODUÇÃO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REFERENCIAL TEÓRICO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MATERIAL E MÉTODO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9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9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EXECUÇÃO DA MATRIZ DE EXPERIMENTOS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F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ANÁLISE DOS RESULTADOS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ELABORANDO AS REFERÊNCIAS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A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A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spacing w:after="20" w:before="20" w:lineRule="auto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 xml:space="preserve">REVISÃO FINAL E APRESENTAÇÃO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4">
      <w:pPr>
        <w:spacing w:after="120" w:before="4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 REFERÊNCIAS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EARENDIL. </w:t>
      </w:r>
      <w:r w:rsidDel="00000000" w:rsidR="00000000" w:rsidRPr="00000000">
        <w:rPr>
          <w:b w:val="1"/>
          <w:bCs w:val="1"/>
          <w:rtl w:val="0"/>
        </w:rPr>
        <w:t xml:space="preserve">Pi, minimal and performant</w:t>
      </w:r>
      <w:r w:rsidDel="00000000" w:rsidR="00000000" w:rsidRPr="00000000">
        <w:rPr>
          <w:rtl w:val="0"/>
        </w:rPr>
        <w:t xml:space="preserve">. 2026. Publicação de blogue institucional. Disponível em: https://earendil.com/posts/pi-autoresearch-and-databricks/. Acesso em: 28 ago. 2026.</w:t>
      </w:r>
    </w:p>
    <w:p w:rsidR="00000000" w:rsidDel="00000000" w:rsidP="00000000" w:rsidRDefault="00000000" w:rsidRPr="00000000" w14:paraId="000000B7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KARPATHY, Andrej.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LLM Wiki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a pattern for building personal knowledge bases using LLMs. 2026. Gist (GitHub). Disponível em: https://gist.github.com/karpathy/442a6bf555914893e9891c11519de94f. Acesso em: 14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LIN, Jiahang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Agentic harness engineering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observability-driven automatic evolution of coding-agent harnesses. arXiv:2604.25850, 2026.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Preprint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não revisado por pares. Disponível em: https://arxiv.org/abs/2604.25850. Acesso em: 28 ago.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LIU, Haozhe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SoL-Pi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recursively scaling auto-research loops for efficient agent harness. arXiv:2609.20519, 2026.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Preprint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não revisado por pares. Disponível em: https://arxiv.org/abs/2609.20519. Acesso em: 23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MILLER, Evan.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Adding error bars to evals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a statistical approach to language model evaluations. arXiv:2411.00640, 2024.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Preprint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não revisado por pares. Disponível em: https://arxiv.org/abs/2411.00640. Acesso em: 28 ago.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NING, Xuying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Code as agent harness</w:t>
      </w:r>
      <w:r w:rsidDel="00000000" w:rsidR="00000000" w:rsidRPr="00000000">
        <w:rPr>
          <w:rtl w:val="0"/>
        </w:rPr>
        <w:t xml:space="preserve">. arXiv:2605.18747, 2026. </w:t>
      </w:r>
      <w:r w:rsidDel="00000000" w:rsidR="00000000" w:rsidRPr="00000000">
        <w:rPr>
          <w:i w:val="1"/>
          <w:iCs w:val="1"/>
          <w:rtl w:val="0"/>
        </w:rPr>
        <w:t xml:space="preserve">Preprint</w:t>
      </w:r>
      <w:r w:rsidDel="00000000" w:rsidR="00000000" w:rsidRPr="00000000">
        <w:rPr>
          <w:rtl w:val="0"/>
        </w:rPr>
        <w:t xml:space="preserve">, não revisado por pares. Disponível em: https://arxiv.org/abs/2605.18747. Acesso em: 28 ago. 2026.</w:t>
      </w:r>
    </w:p>
    <w:p w:rsidR="00000000" w:rsidDel="00000000" w:rsidP="00000000" w:rsidRDefault="00000000" w:rsidRPr="00000000" w14:paraId="000000BC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OPENCODE.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OpenCode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the open source coding agent. 2026a. Repositório de código. Disponível em: https://github.com/anomalyco/opencode. Acesso em: 14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OPENCODE.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Zen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. 2026b. Documentação do produto. Disponível em: https://opencode.ai/docs/zen/. Acesso em: 28 ago.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PAN, Melissa Z.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HarnessTax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how much does the harness matter for coding agents? 2026. Publicação de blogue de pesquisa, não revisada por pares. Disponível em: https://harnesstax.github.io/. Acesso em: 23 set. 2026.</w:t>
      </w:r>
      <w:r w:rsidDel="00000000" w:rsidR="00000000" w:rsidRPr="00000000">
        <w:rPr>
          <w:rtl w:val="0"/>
        </w:rPr>
      </w:r>
    </w:p>
    <w:p>
      <w:pPr>
        <w:spacing w:after="240" w:line="240" w:lineRule="auto"/>
        <w:rPr/>
      </w:pPr>
      <w:r>
        <w:rPr>
          <w:b w:val="0"/>
          <w:i w:val="0"/>
          <w:bCs w:val="0"/>
          <w:iCs w:val="0"/>
          <w:rtl w:val="0"/>
        </w:rPr>
        <w:t xml:space="preserve">YOUNG, Justin. </w:t>
      </w:r>
      <w:r>
        <w:rPr>
          <w:b/>
          <w:i w:val="0"/>
          <w:bCs w:val="0"/>
          <w:iCs w:val="0"/>
          <w:rtl w:val="0"/>
        </w:rPr>
        <w:t xml:space="preserve">Effective harnesses for long-running agents</w:t>
      </w:r>
      <w:r>
        <w:rPr>
          <w:b w:val="0"/>
          <w:i w:val="0"/>
          <w:bCs w:val="0"/>
          <w:iCs w:val="0"/>
          <w:rtl w:val="0"/>
        </w:rPr>
        <w:t xml:space="preserve">. 2025. Publicação de blogue de engenharia (Anthropic), não revisada por pares. Disponível em: https://www.anthropic.com/engineering/effective-harnesses-for-long-running-agents. Acesso em: 24 set. 2026.</w:t>
      </w:r>
    </w:p>
    <w:p w:rsidR="00000000" w:rsidDel="00000000" w:rsidP="00000000" w:rsidRDefault="00000000" w:rsidRPr="00000000" w14:paraId="000000BF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YUUKIFST.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agent-dotfiles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skill Helmsman, mapa de decisões para agentes de codificação. 2026a. Repositório de código. Disponível em: https://github.com/YuukiFST/agent-dotfiles/tree/main/skills/helmsman. Acesso em: 15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YUUKIFST.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Finn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SaaS universal de financeiro por voz. 2026b. Repositório de código. Disponível em: https://github.com/YuukiFST/Finn. Acesso em: 14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YUUKIFST.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harness-bench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executor, prompts, testes de aceitação, dados brutos e scripts de análise deste projeto. 2026c. Repositório de código. Disponível em: https://github.com/YuukiFST/harness-bench. Acesso em: 28 ago.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ZHANG, Yunbei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Stop comparing LLM agents without disclosing the 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. arXiv:2605.23950, 2026.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Preprint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não revisado por pares. Disponível em: https://arxiv.org/abs/2605.23950. Acesso em: 28 ago. 2026.</w:t>
      </w:r>
      <w:r w:rsidDel="00000000" w:rsidR="00000000" w:rsidRPr="00000000">
        <w:rPr>
          <w:rtl w:val="0"/>
        </w:rPr>
      </w:r>
    </w:p>
    <w:sectPr>
      <w:headerReference r:id="rId6" w:type="default"/>
      <w:type w:val="nextPage"/>
      <w:pgSz w:h="16838" w:w="11906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ungsuh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