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b/>
          <w:bCs/>
          <w:color w:val="1F4E79"/>
          <w:sz w:val="56"/>
          <w:szCs w:val="56"/>
        </w:rPr>
        <w:t xml:space="preserve">PROJET MALLET</w:t>
      </w:r>
    </w:p>
    <w:p>
      <w:pPr>
        <w:spacing w:after="200" w:before="0"/>
        <w:jc w:val="center"/>
      </w:pPr>
      <w:r>
        <w:rPr>
          <w:color w:val="2E75B6"/>
          <w:sz w:val="36"/>
          <w:szCs w:val="36"/>
        </w:rPr>
        <w:t xml:space="preserve">Compte Rendu Technique</w:t>
      </w:r>
    </w:p>
    <w:p>
      <w:pPr>
        <w:spacing w:after="600" w:before="0"/>
        <w:jc w:val="center"/>
      </w:pPr>
      <w:r>
        <w:rPr>
          <w:color w:val="595959"/>
          <w:sz w:val="28"/>
          <w:szCs w:val="28"/>
        </w:rPr>
        <w:t xml:space="preserve">Infrastructure Active Directory — Missions 2 &amp; 3</w:t>
      </w:r>
    </w:p>
    <w:p>
      <w:pPr>
        <w:pBdr>
          <w:top w:val="single" w:color="2E75B6" w:sz="6" w:space="1"/>
          <w:bottom w:val="single" w:color="2E75B6" w:sz="6" w:space="1"/>
        </w:pBdr>
        <w:spacing w:after="200" w:before="0"/>
        <w:jc w:val="center"/>
      </w:pPr>
      <w:r>
        <w:rPr>
          <w:sz w:val="4"/>
          <w:szCs w:val="4"/>
        </w:rPr>
        <w:t xml:space="preserve"> </w:t>
      </w:r>
    </w:p>
    <w:p>
      <w:pPr>
        <w:spacing w:after="100" w:before="400"/>
        <w:jc w:val="center"/>
      </w:pPr>
      <w:r>
        <w:rPr>
          <w:b/>
          <w:bCs/>
          <w:color w:val="1F4E79"/>
          <w:sz w:val="26"/>
          <w:szCs w:val="26"/>
        </w:rPr>
        <w:t xml:space="preserve">Fondation Mallet — Yvelines (78)</w:t>
      </w:r>
    </w:p>
    <w:p>
      <w:pPr>
        <w:spacing w:after="100" w:before="0"/>
        <w:jc w:val="center"/>
      </w:pPr>
      <w:r>
        <w:rPr>
          <w:color w:val="595959"/>
          <w:sz w:val="22"/>
          <w:szCs w:val="22"/>
        </w:rPr>
        <w:t xml:space="preserve">11 établissements · 3 sites · Personnes en situation de handicap</w:t>
      </w:r>
    </w:p>
    <w:p>
      <w:pPr>
        <w:spacing w:after="100" w:before="200"/>
        <w:jc w:val="center"/>
      </w:pPr>
      <w:r>
        <w:rPr>
          <w:color w:val="595959"/>
          <w:sz w:val="22"/>
          <w:szCs w:val="22"/>
        </w:rPr>
        <w:t xml:space="preserve">BTS SIO — 1ère année · Janvier – Juin 2026</w:t>
      </w:r>
    </w:p>
    <w:p>
      <w:pPr>
        <w:spacing w:after="100" w:before="100"/>
        <w:jc w:val="center"/>
      </w:pPr>
      <w:r>
        <w:rPr>
          <w:color w:val="595959"/>
          <w:sz w:val="22"/>
          <w:szCs w:val="22"/>
        </w:rPr>
        <w:t xml:space="preserve">Binôme · Windows Server 2025</w:t>
      </w:r>
    </w:p>
    <w:p>
      <w:r>
        <w:br w:type="page"/>
      </w:r>
    </w:p>
    <w:p>
      <w:pPr>
        <w:pStyle w:val="Heading1"/>
        <w:spacing w:after="120" w:before="360"/>
      </w:pPr>
      <w:r>
        <w:rPr>
          <w:b/>
          <w:bCs/>
          <w:color w:val="1F4E79"/>
          <w:sz w:val="32"/>
          <w:szCs w:val="32"/>
        </w:rPr>
        <w:t xml:space="preserve">PARTIE 1 — COMPTE RENDU DES MISSIONS</w:t>
      </w:r>
    </w:p>
    <w:p>
      <w:pPr>
        <w:pBdr>
          <w:bottom w:val="single" w:color="2E75B6" w:sz="4" w:space="1"/>
        </w:pBdr>
        <w:spacing w:after="120" w:before="120"/>
      </w:pPr>
      <w:r>
        <w:t xml:space="preserve"/>
      </w:r>
    </w:p>
    <w:p>
      <w:pPr>
        <w:spacing w:after="120" w:before="200"/>
      </w:pPr>
      <w:r>
        <w:rPr>
          <w:b/>
          <w:bCs/>
          <w:color w:val="1F4E79"/>
          <w:sz w:val="24"/>
          <w:szCs w:val="24"/>
        </w:rPr>
        <w:t xml:space="preserve">Informations générales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2E75B6" w:val="clear"/>
            <w:tcMar>
              <w:top w:type="dxa" w:w="100"/>
              <w:left w:type="dxa" w:w="150"/>
              <w:bottom w:type="dxa" w:w="100"/>
              <w:right w:type="dxa" w:w="150"/>
            </w:tcMar>
          </w:tcPr>
          <w:p>
            <w:r>
              <w:rPr>
                <w:b/>
                <w:bCs/>
                <w:color w:val="FFFFFF"/>
                <w:sz w:val="20"/>
                <w:szCs w:val="20"/>
              </w:rPr>
              <w:t xml:space="preserve">Client</w:t>
            </w:r>
          </w:p>
        </w:tc>
        <w:tc>
          <w:tcPr>
            <w:tcW w:type="dxa" w:w="65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sz w:val="22"/>
                <w:szCs w:val="22"/>
              </w:rPr>
              <w:t xml:space="preserve">Fondation Mallet — Yvelines (78)</w:t>
            </w:r>
          </w:p>
        </w:tc>
      </w:tr>
      <w:tr>
        <w:tc>
          <w:tcPr>
            <w:tcW w:type="dxa" w:w="2800"/>
            <w:tcBorders>
              <w:top w:val="single" w:color="1F4E79" w:sz="1"/>
              <w:left w:val="single" w:color="1F4E79" w:sz="1"/>
              <w:bottom w:val="single" w:color="1F4E79" w:sz="1"/>
              <w:right w:val="single" w:color="1F4E79" w:sz="1"/>
            </w:tcBorders>
            <w:shd w:fill="2E75B6" w:val="clear"/>
            <w:tcMar>
              <w:top w:type="dxa" w:w="100"/>
              <w:left w:type="dxa" w:w="150"/>
              <w:bottom w:type="dxa" w:w="100"/>
              <w:right w:type="dxa" w:w="150"/>
            </w:tcMar>
          </w:tcPr>
          <w:p>
            <w:r>
              <w:rPr>
                <w:b/>
                <w:bCs/>
                <w:color w:val="FFFFFF"/>
                <w:sz w:val="20"/>
                <w:szCs w:val="20"/>
              </w:rPr>
              <w:t xml:space="preserve">Périmètre</w:t>
            </w:r>
          </w:p>
        </w:tc>
        <w:tc>
          <w:tcPr>
            <w:tcW w:type="dxa" w:w="65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sz w:val="22"/>
                <w:szCs w:val="22"/>
              </w:rPr>
              <w:t xml:space="preserve">11 établissements répartis sur 3 sites géographiques</w:t>
            </w:r>
          </w:p>
        </w:tc>
      </w:tr>
      <w:tr>
        <w:tc>
          <w:tcPr>
            <w:tcW w:type="dxa" w:w="2800"/>
            <w:tcBorders>
              <w:top w:val="single" w:color="1F4E79" w:sz="1"/>
              <w:left w:val="single" w:color="1F4E79" w:sz="1"/>
              <w:bottom w:val="single" w:color="1F4E79" w:sz="1"/>
              <w:right w:val="single" w:color="1F4E79" w:sz="1"/>
            </w:tcBorders>
            <w:shd w:fill="2E75B6" w:val="clear"/>
            <w:tcMar>
              <w:top w:type="dxa" w:w="100"/>
              <w:left w:type="dxa" w:w="150"/>
              <w:bottom w:type="dxa" w:w="100"/>
              <w:right w:type="dxa" w:w="150"/>
            </w:tcMar>
          </w:tcPr>
          <w:p>
            <w:r>
              <w:rPr>
                <w:b/>
                <w:bCs/>
                <w:color w:val="FFFFFF"/>
                <w:sz w:val="20"/>
                <w:szCs w:val="20"/>
              </w:rPr>
              <w:t xml:space="preserve">Public</w:t>
            </w:r>
          </w:p>
        </w:tc>
        <w:tc>
          <w:tcPr>
            <w:tcW w:type="dxa" w:w="65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sz w:val="22"/>
                <w:szCs w:val="22"/>
              </w:rPr>
              <w:t xml:space="preserve">Personnes en situation de handicap (DI, polyhandicap, TSA)</w:t>
            </w:r>
          </w:p>
        </w:tc>
      </w:tr>
      <w:tr>
        <w:tc>
          <w:tcPr>
            <w:tcW w:type="dxa" w:w="2800"/>
            <w:tcBorders>
              <w:top w:val="single" w:color="1F4E79" w:sz="1"/>
              <w:left w:val="single" w:color="1F4E79" w:sz="1"/>
              <w:bottom w:val="single" w:color="1F4E79" w:sz="1"/>
              <w:right w:val="single" w:color="1F4E79" w:sz="1"/>
            </w:tcBorders>
            <w:shd w:fill="2E75B6" w:val="clear"/>
            <w:tcMar>
              <w:top w:type="dxa" w:w="100"/>
              <w:left w:type="dxa" w:w="150"/>
              <w:bottom w:type="dxa" w:w="100"/>
              <w:right w:type="dxa" w:w="150"/>
            </w:tcMar>
          </w:tcPr>
          <w:p>
            <w:r>
              <w:rPr>
                <w:b/>
                <w:bCs/>
                <w:color w:val="FFFFFF"/>
                <w:sz w:val="20"/>
                <w:szCs w:val="20"/>
              </w:rPr>
              <w:t xml:space="preserve">Formation</w:t>
            </w:r>
          </w:p>
        </w:tc>
        <w:tc>
          <w:tcPr>
            <w:tcW w:type="dxa" w:w="65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sz w:val="22"/>
                <w:szCs w:val="22"/>
              </w:rPr>
              <w:t xml:space="preserve">BTS SIO — 1ère année</w:t>
            </w:r>
          </w:p>
        </w:tc>
      </w:tr>
      <w:tr>
        <w:tc>
          <w:tcPr>
            <w:tcW w:type="dxa" w:w="2800"/>
            <w:tcBorders>
              <w:top w:val="single" w:color="1F4E79" w:sz="1"/>
              <w:left w:val="single" w:color="1F4E79" w:sz="1"/>
              <w:bottom w:val="single" w:color="1F4E79" w:sz="1"/>
              <w:right w:val="single" w:color="1F4E79" w:sz="1"/>
            </w:tcBorders>
            <w:shd w:fill="2E75B6" w:val="clear"/>
            <w:tcMar>
              <w:top w:type="dxa" w:w="100"/>
              <w:left w:type="dxa" w:w="150"/>
              <w:bottom w:type="dxa" w:w="100"/>
              <w:right w:type="dxa" w:w="150"/>
            </w:tcMar>
          </w:tcPr>
          <w:p>
            <w:r>
              <w:rPr>
                <w:b/>
                <w:bCs/>
                <w:color w:val="FFFFFF"/>
                <w:sz w:val="20"/>
                <w:szCs w:val="20"/>
              </w:rPr>
              <w:t xml:space="preserve">Période</w:t>
            </w:r>
          </w:p>
        </w:tc>
        <w:tc>
          <w:tcPr>
            <w:tcW w:type="dxa" w:w="65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sz w:val="22"/>
                <w:szCs w:val="22"/>
              </w:rPr>
              <w:t xml:space="preserve">Janvier — Juin 2026</w:t>
            </w:r>
          </w:p>
        </w:tc>
      </w:tr>
      <w:tr>
        <w:tc>
          <w:tcPr>
            <w:tcW w:type="dxa" w:w="2800"/>
            <w:tcBorders>
              <w:top w:val="single" w:color="1F4E79" w:sz="1"/>
              <w:left w:val="single" w:color="1F4E79" w:sz="1"/>
              <w:bottom w:val="single" w:color="1F4E79" w:sz="1"/>
              <w:right w:val="single" w:color="1F4E79" w:sz="1"/>
            </w:tcBorders>
            <w:shd w:fill="2E75B6" w:val="clear"/>
            <w:tcMar>
              <w:top w:type="dxa" w:w="100"/>
              <w:left w:type="dxa" w:w="150"/>
              <w:bottom w:type="dxa" w:w="100"/>
              <w:right w:type="dxa" w:w="150"/>
            </w:tcMar>
          </w:tcPr>
          <w:p>
            <w:r>
              <w:rPr>
                <w:b/>
                <w:bCs/>
                <w:color w:val="FFFFFF"/>
                <w:sz w:val="20"/>
                <w:szCs w:val="20"/>
              </w:rPr>
              <w:t xml:space="preserve">Équipe</w:t>
            </w:r>
          </w:p>
        </w:tc>
        <w:tc>
          <w:tcPr>
            <w:tcW w:type="dxa" w:w="65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sz w:val="22"/>
                <w:szCs w:val="22"/>
              </w:rPr>
              <w:t xml:space="preserve">Binôme (2 étudiants)</w:t>
            </w:r>
          </w:p>
        </w:tc>
      </w:tr>
      <w:tr>
        <w:tc>
          <w:tcPr>
            <w:tcW w:type="dxa" w:w="2800"/>
            <w:tcBorders>
              <w:top w:val="single" w:color="1F4E79" w:sz="1"/>
              <w:left w:val="single" w:color="1F4E79" w:sz="1"/>
              <w:bottom w:val="single" w:color="1F4E79" w:sz="1"/>
              <w:right w:val="single" w:color="1F4E79" w:sz="1"/>
            </w:tcBorders>
            <w:shd w:fill="2E75B6" w:val="clear"/>
            <w:tcMar>
              <w:top w:type="dxa" w:w="100"/>
              <w:left w:type="dxa" w:w="150"/>
              <w:bottom w:type="dxa" w:w="100"/>
              <w:right w:type="dxa" w:w="150"/>
            </w:tcMar>
          </w:tcPr>
          <w:p>
            <w:r>
              <w:rPr>
                <w:b/>
                <w:bCs/>
                <w:color w:val="FFFFFF"/>
                <w:sz w:val="20"/>
                <w:szCs w:val="20"/>
              </w:rPr>
              <w:t xml:space="preserve">Outils</w:t>
            </w:r>
          </w:p>
        </w:tc>
        <w:tc>
          <w:tcPr>
            <w:tcW w:type="dxa" w:w="65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sz w:val="22"/>
                <w:szCs w:val="22"/>
              </w:rPr>
              <w:t xml:space="preserve">Windows Server 2025, Active Directory, GPO, GLPI, Zabbix, Nextcloud, PaperCut MF</w:t>
            </w:r>
          </w:p>
        </w:tc>
      </w:tr>
    </w:tbl>
    <w:p>
      <w:pPr>
        <w:spacing w:after="120" w:before="280"/>
      </w:pPr>
      <w:r>
        <w:rPr>
          <w:b/>
          <w:bCs/>
          <w:color w:val="1F4E79"/>
          <w:sz w:val="24"/>
          <w:szCs w:val="24"/>
        </w:rPr>
        <w:t xml:space="preserve">État d'avancement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MISSION</w:t>
            </w:r>
          </w:p>
        </w:tc>
        <w:tc>
          <w:tcPr>
            <w:tcW w:type="dxa" w:w="2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STATUT</w:t>
            </w:r>
          </w:p>
        </w:tc>
        <w:tc>
          <w:tcPr>
            <w:tcW w:type="dxa" w:w="35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DÉTAIL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2"/>
                <w:szCs w:val="22"/>
              </w:rPr>
              <w:t xml:space="preserve">Mission 1 — Audit</w:t>
            </w:r>
          </w:p>
        </w:tc>
        <w:tc>
          <w:tcPr>
            <w:tcW w:type="dxa" w:w="280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r>
              <w:rPr>
                <w:b/>
                <w:bCs/>
                <w:color w:val="375623"/>
                <w:sz w:val="22"/>
                <w:szCs w:val="22"/>
              </w:rPr>
              <w:t xml:space="preserve">✅ VALIDÉE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2"/>
                <w:szCs w:val="22"/>
              </w:rPr>
              <w:t xml:space="preserve">Rapport remis et approuvé</w:t>
            </w:r>
          </w:p>
        </w:tc>
      </w:tr>
      <w:tr>
        <w:tc>
          <w:tcPr>
            <w:tcW w:type="dxa" w:w="30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b/>
                <w:bCs/>
                <w:sz w:val="22"/>
                <w:szCs w:val="22"/>
              </w:rPr>
              <w:t xml:space="preserve">Mission 2 — Active Directory</w:t>
            </w:r>
          </w:p>
        </w:tc>
        <w:tc>
          <w:tcPr>
            <w:tcW w:type="dxa" w:w="280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r>
              <w:rPr>
                <w:b/>
                <w:bCs/>
                <w:color w:val="375623"/>
                <w:sz w:val="22"/>
                <w:szCs w:val="22"/>
              </w:rPr>
              <w:t xml:space="preserve">✅ VALIDÉE</w:t>
            </w:r>
          </w:p>
        </w:tc>
        <w:tc>
          <w:tcPr>
            <w:tcW w:type="dxa" w:w="356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sz w:val="22"/>
                <w:szCs w:val="22"/>
              </w:rPr>
              <w:t xml:space="preserve">Domaine mallet.local opérationnel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2"/>
                <w:szCs w:val="22"/>
              </w:rPr>
              <w:t xml:space="preserve">Mission 3 — GPO</w:t>
            </w:r>
          </w:p>
        </w:tc>
        <w:tc>
          <w:tcPr>
            <w:tcW w:type="dxa" w:w="280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r>
              <w:rPr>
                <w:b/>
                <w:bCs/>
                <w:color w:val="375623"/>
                <w:sz w:val="22"/>
                <w:szCs w:val="22"/>
              </w:rPr>
              <w:t xml:space="preserve">✅ VALIDÉE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2"/>
                <w:szCs w:val="22"/>
              </w:rPr>
              <w:t xml:space="preserve">3 GPO déployées et liées</w:t>
            </w:r>
          </w:p>
        </w:tc>
      </w:tr>
      <w:tr>
        <w:tc>
          <w:tcPr>
            <w:tcW w:type="dxa" w:w="30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b/>
                <w:bCs/>
                <w:sz w:val="22"/>
                <w:szCs w:val="22"/>
              </w:rPr>
              <w:t xml:space="preserve">Mission 4 — Services</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b/>
                <w:bCs/>
                <w:color w:val="595959"/>
                <w:sz w:val="22"/>
                <w:szCs w:val="22"/>
              </w:rPr>
              <w:t xml:space="preserve">— EN ATTENTE</w:t>
            </w:r>
          </w:p>
        </w:tc>
        <w:tc>
          <w:tcPr>
            <w:tcW w:type="dxa" w:w="356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sz w:val="22"/>
                <w:szCs w:val="22"/>
              </w:rPr>
              <w:t xml:space="preserve">GLPI · Zabbix · Nextcloud · PaperCut</w:t>
            </w:r>
          </w:p>
        </w:tc>
      </w:tr>
    </w:tbl>
    <w:p>
      <w:pPr>
        <w:pBdr>
          <w:bottom w:val="single" w:color="2E75B6" w:sz="4" w:space="1"/>
        </w:pBdr>
        <w:spacing w:after="120" w:before="120"/>
      </w:pPr>
      <w:r>
        <w:t xml:space="preserve"/>
      </w:r>
    </w:p>
    <w:p>
      <w:pPr>
        <w:pStyle w:val="Heading2"/>
        <w:spacing w:after="100" w:before="280"/>
      </w:pPr>
      <w:r>
        <w:rPr>
          <w:b/>
          <w:bCs/>
          <w:color w:val="2E75B6"/>
          <w:sz w:val="26"/>
          <w:szCs w:val="26"/>
        </w:rPr>
        <w:t xml:space="preserve">Mission 2 — Déploiement Active Directory</w:t>
      </w:r>
    </w:p>
    <w:p>
      <w:pPr>
        <w:spacing w:after="80" w:before="80"/>
      </w:pPr>
      <w:r>
        <w:rPr>
          <w:sz w:val="22"/>
          <w:szCs w:val="22"/>
        </w:rPr>
        <w:t xml:space="preserve">Objectif : mettre en place un contrôleur de domaine centralisé pour remplacer l'infrastructure vieillissante et non maîtrisée de la Fondation Mallet.</w:t>
      </w:r>
    </w:p>
    <w:p>
      <w:pPr>
        <w:spacing w:after="80" w:before="200"/>
      </w:pPr>
      <w:r>
        <w:rPr>
          <w:b/>
          <w:bCs/>
          <w:color w:val="1F4E79"/>
          <w:sz w:val="24"/>
          <w:szCs w:val="24"/>
        </w:rPr>
        <w:t xml:space="preserve">Réalisations</w:t>
      </w:r>
    </w:p>
    <w:p>
      <w:pPr>
        <w:pStyle w:val="ListParagraph"/>
        <w:numPr>
          <w:ilvl w:val="0"/>
          <w:numId w:val="2"/>
        </w:numPr>
        <w:spacing w:after="40" w:before="40"/>
      </w:pPr>
      <w:r>
        <w:rPr>
          <w:sz w:val="22"/>
          <w:szCs w:val="22"/>
        </w:rPr>
        <w:t xml:space="preserve">Renommage du serveur en SRV-MALLET et attribution d'une adresse IP fixe (192.168.1.10)</w:t>
      </w:r>
    </w:p>
    <w:p>
      <w:pPr>
        <w:pStyle w:val="ListParagraph"/>
        <w:numPr>
          <w:ilvl w:val="0"/>
          <w:numId w:val="2"/>
        </w:numPr>
        <w:spacing w:after="40" w:before="40"/>
      </w:pPr>
      <w:r>
        <w:rPr>
          <w:sz w:val="22"/>
          <w:szCs w:val="22"/>
        </w:rPr>
        <w:t xml:space="preserve">Installation du rôle AD DS (Active Directory Domain Services) sur Windows Server 2025</w:t>
      </w:r>
    </w:p>
    <w:p>
      <w:pPr>
        <w:pStyle w:val="ListParagraph"/>
        <w:numPr>
          <w:ilvl w:val="0"/>
          <w:numId w:val="2"/>
        </w:numPr>
        <w:spacing w:after="40" w:before="40"/>
      </w:pPr>
      <w:r>
        <w:rPr>
          <w:sz w:val="22"/>
          <w:szCs w:val="22"/>
        </w:rPr>
        <w:t xml:space="preserve">Promotion du serveur en contrôleur de domaine principal sur le domaine mallet.local</w:t>
      </w:r>
    </w:p>
    <w:p>
      <w:pPr>
        <w:pStyle w:val="ListParagraph"/>
        <w:numPr>
          <w:ilvl w:val="0"/>
          <w:numId w:val="2"/>
        </w:numPr>
        <w:spacing w:after="40" w:before="40"/>
      </w:pPr>
      <w:r>
        <w:rPr>
          <w:sz w:val="22"/>
          <w:szCs w:val="22"/>
        </w:rPr>
        <w:t xml:space="preserve">Création de 3 Unités Organisationnelles : ADMIN, PEDAGOGIQUE, DIRECTION</w:t>
      </w:r>
    </w:p>
    <w:p>
      <w:pPr>
        <w:pStyle w:val="ListParagraph"/>
        <w:numPr>
          <w:ilvl w:val="0"/>
          <w:numId w:val="2"/>
        </w:numPr>
        <w:spacing w:after="40" w:before="40"/>
      </w:pPr>
      <w:r>
        <w:rPr>
          <w:sz w:val="22"/>
          <w:szCs w:val="22"/>
        </w:rPr>
        <w:t xml:space="preserve">Création de 3 groupes de sécurité : GRP-ADMIN, GRP-PEDAGOGIQUE, GRP-DIRECTION</w:t>
      </w:r>
    </w:p>
    <w:p>
      <w:pPr>
        <w:pStyle w:val="ListParagraph"/>
        <w:numPr>
          <w:ilvl w:val="0"/>
          <w:numId w:val="2"/>
        </w:numPr>
        <w:spacing w:after="40" w:before="40"/>
      </w:pPr>
      <w:r>
        <w:rPr>
          <w:sz w:val="22"/>
          <w:szCs w:val="22"/>
        </w:rPr>
        <w:t xml:space="preserve">Création des comptes utilisateurs par profil et affectation aux groupes correspondants</w:t>
      </w:r>
    </w:p>
    <w:p>
      <w:pPr>
        <w:spacing w:after="80" w:before="200"/>
      </w:pPr>
      <w:r>
        <w:rPr>
          <w:b/>
          <w:bCs/>
          <w:color w:val="1F4E79"/>
          <w:sz w:val="24"/>
          <w:szCs w:val="24"/>
        </w:rPr>
        <w:t xml:space="preserve">Résultat</w:t>
      </w:r>
    </w:p>
    <w:p>
      <w:pPr>
        <w:spacing w:after="80" w:before="80"/>
      </w:pPr>
      <w:r>
        <w:rPr>
          <w:sz w:val="22"/>
          <w:szCs w:val="22"/>
        </w:rPr>
        <w:t xml:space="preserve">Le domaine mallet.local est pleinement opérationnel. Tous les utilisateurs sont organisés par profil avec des droits adaptés à leur fonction. L'infrastructure répond aux préconisations de l'audit (Mission 1).</w:t>
      </w:r>
    </w:p>
    <w:p>
      <w:pPr>
        <w:pBdr>
          <w:bottom w:val="single" w:color="2E75B6" w:sz="4" w:space="1"/>
        </w:pBdr>
        <w:spacing w:after="120" w:before="120"/>
      </w:pPr>
      <w:r>
        <w:t xml:space="preserve"/>
      </w:r>
    </w:p>
    <w:p>
      <w:pPr>
        <w:pStyle w:val="Heading2"/>
        <w:spacing w:after="100" w:before="280"/>
      </w:pPr>
      <w:r>
        <w:rPr>
          <w:b/>
          <w:bCs/>
          <w:color w:val="2E75B6"/>
          <w:sz w:val="26"/>
          <w:szCs w:val="26"/>
        </w:rPr>
        <w:t xml:space="preserve">Mission 3 — Stratégies de groupe (GPO)</w:t>
      </w:r>
    </w:p>
    <w:p>
      <w:pPr>
        <w:spacing w:after="80" w:before="80"/>
      </w:pPr>
      <w:r>
        <w:rPr>
          <w:sz w:val="22"/>
          <w:szCs w:val="22"/>
        </w:rPr>
        <w:t xml:space="preserve">Objectif : sécuriser et contrôler les postes clients selon le profil des utilisateurs via des GPO ciblées par Unité Organisationnelle.</w:t>
      </w:r>
    </w:p>
    <w:p>
      <w:pPr>
        <w:spacing w:after="80" w:before="200"/>
      </w:pPr>
      <w:r>
        <w:rPr>
          <w:b/>
          <w:bCs/>
          <w:color w:val="1F4E79"/>
          <w:sz w:val="24"/>
          <w:szCs w:val="24"/>
        </w:rPr>
        <w:t xml:space="preserve">GPO-ADMIN — Politique de mots de passe renforcée</w:t>
      </w:r>
    </w:p>
    <w:p>
      <w:pPr>
        <w:pStyle w:val="ListParagraph"/>
        <w:numPr>
          <w:ilvl w:val="0"/>
          <w:numId w:val="2"/>
        </w:numPr>
        <w:spacing w:after="40" w:before="40"/>
      </w:pPr>
      <w:r>
        <w:rPr>
          <w:sz w:val="22"/>
          <w:szCs w:val="22"/>
        </w:rPr>
        <w:t xml:space="preserve">Longueur minimale : 12 caractères</w:t>
      </w:r>
    </w:p>
    <w:p>
      <w:pPr>
        <w:pStyle w:val="ListParagraph"/>
        <w:numPr>
          <w:ilvl w:val="0"/>
          <w:numId w:val="2"/>
        </w:numPr>
        <w:spacing w:after="40" w:before="40"/>
      </w:pPr>
      <w:r>
        <w:rPr>
          <w:sz w:val="22"/>
          <w:szCs w:val="22"/>
        </w:rPr>
        <w:t xml:space="preserve">Complexité activée (majuscules, chiffres, caractères spéciaux)</w:t>
      </w:r>
    </w:p>
    <w:p>
      <w:pPr>
        <w:pStyle w:val="ListParagraph"/>
        <w:numPr>
          <w:ilvl w:val="0"/>
          <w:numId w:val="2"/>
        </w:numPr>
        <w:spacing w:after="40" w:before="40"/>
      </w:pPr>
      <w:r>
        <w:rPr>
          <w:sz w:val="22"/>
          <w:szCs w:val="22"/>
        </w:rPr>
        <w:t xml:space="preserve">Expiration du mot de passe : tous les 90 jours</w:t>
      </w:r>
    </w:p>
    <w:p>
      <w:pPr>
        <w:pStyle w:val="ListParagraph"/>
        <w:numPr>
          <w:ilvl w:val="0"/>
          <w:numId w:val="2"/>
        </w:numPr>
        <w:spacing w:after="40" w:before="40"/>
      </w:pPr>
      <w:r>
        <w:rPr>
          <w:sz w:val="22"/>
          <w:szCs w:val="22"/>
        </w:rPr>
        <w:t xml:space="preserve">Justification : les administrateurs ont accès à l'ensemble du système — leur compte doit être protégé au maximum</w:t>
      </w:r>
    </w:p>
    <w:p>
      <w:pPr>
        <w:spacing w:after="80" w:before="200"/>
      </w:pPr>
      <w:r>
        <w:rPr>
          <w:b/>
          <w:bCs/>
          <w:color w:val="1F4E79"/>
          <w:sz w:val="24"/>
          <w:szCs w:val="24"/>
        </w:rPr>
        <w:t xml:space="preserve">GPO-PEDAGOGIQUE — Restriction des droits système</w:t>
      </w:r>
    </w:p>
    <w:p>
      <w:pPr>
        <w:pStyle w:val="ListParagraph"/>
        <w:numPr>
          <w:ilvl w:val="0"/>
          <w:numId w:val="2"/>
        </w:numPr>
        <w:spacing w:after="40" w:before="40"/>
      </w:pPr>
      <w:r>
        <w:rPr>
          <w:sz w:val="22"/>
          <w:szCs w:val="22"/>
        </w:rPr>
        <w:t xml:space="preserve">Blocage de l'accès aux outils de modification du registre</w:t>
      </w:r>
    </w:p>
    <w:p>
      <w:pPr>
        <w:pStyle w:val="ListParagraph"/>
        <w:numPr>
          <w:ilvl w:val="0"/>
          <w:numId w:val="2"/>
        </w:numPr>
        <w:spacing w:after="40" w:before="40"/>
      </w:pPr>
      <w:r>
        <w:rPr>
          <w:sz w:val="22"/>
          <w:szCs w:val="22"/>
        </w:rPr>
        <w:t xml:space="preserve">Restriction d'accès au panneau de configuration</w:t>
      </w:r>
    </w:p>
    <w:p>
      <w:pPr>
        <w:pStyle w:val="ListParagraph"/>
        <w:numPr>
          <w:ilvl w:val="0"/>
          <w:numId w:val="2"/>
        </w:numPr>
        <w:spacing w:after="40" w:before="40"/>
      </w:pPr>
      <w:r>
        <w:rPr>
          <w:sz w:val="22"/>
          <w:szCs w:val="22"/>
        </w:rPr>
        <w:t xml:space="preserve">Justification : les éducateurs n'ont pas besoin de modifier le système — on limite les risques d'erreur ou de modification involontaire</w:t>
      </w:r>
    </w:p>
    <w:p>
      <w:pPr>
        <w:spacing w:after="80" w:before="200"/>
      </w:pPr>
      <w:r>
        <w:rPr>
          <w:b/>
          <w:bCs/>
          <w:color w:val="1F4E79"/>
          <w:sz w:val="24"/>
          <w:szCs w:val="24"/>
        </w:rPr>
        <w:t xml:space="preserve">GPO-DIRECTION — Protection des données confidentielles</w:t>
      </w:r>
    </w:p>
    <w:p>
      <w:pPr>
        <w:pStyle w:val="ListParagraph"/>
        <w:numPr>
          <w:ilvl w:val="0"/>
          <w:numId w:val="2"/>
        </w:numPr>
        <w:spacing w:after="40" w:before="40"/>
      </w:pPr>
      <w:r>
        <w:rPr>
          <w:sz w:val="22"/>
          <w:szCs w:val="22"/>
        </w:rPr>
        <w:t xml:space="preserve">Blocage total des périphériques de stockage amovible (USB)</w:t>
      </w:r>
    </w:p>
    <w:p>
      <w:pPr>
        <w:pStyle w:val="ListParagraph"/>
        <w:numPr>
          <w:ilvl w:val="0"/>
          <w:numId w:val="2"/>
        </w:numPr>
        <w:spacing w:after="40" w:before="40"/>
      </w:pPr>
      <w:r>
        <w:rPr>
          <w:sz w:val="22"/>
          <w:szCs w:val="22"/>
        </w:rPr>
        <w:t xml:space="preserve">Justification : la direction accède aux dossiers patients et données RH — on empêche toute exfiltration de données via clé USB</w:t>
      </w:r>
    </w:p>
    <w:p>
      <w:pPr>
        <w:spacing w:after="80" w:before="200"/>
      </w:pPr>
      <w:r>
        <w:rPr>
          <w:b/>
          <w:bCs/>
          <w:color w:val="1F4E79"/>
          <w:sz w:val="24"/>
          <w:szCs w:val="24"/>
        </w:rPr>
        <w:t xml:space="preserve">Résultat</w:t>
      </w:r>
    </w:p>
    <w:p>
      <w:pPr>
        <w:spacing w:after="80" w:before="80"/>
      </w:pPr>
      <w:r>
        <w:rPr>
          <w:sz w:val="22"/>
          <w:szCs w:val="22"/>
        </w:rPr>
        <w:t xml:space="preserve">Chaque profil utilisateur dispose de restrictions adaptées à son niveau d'accès et à la sensibilité des données qu'il manipule. Les 3 GPO sont liées aux OUs correspondantes et appliquées automatiquement à chaque connexion.</w:t>
      </w:r>
    </w:p>
    <w:p>
      <w:r>
        <w:br w:type="page"/>
      </w:r>
    </w:p>
    <w:p>
      <w:pPr>
        <w:pStyle w:val="Heading1"/>
        <w:spacing w:after="120" w:before="360"/>
      </w:pPr>
      <w:r>
        <w:rPr>
          <w:b/>
          <w:bCs/>
          <w:color w:val="1F4E79"/>
          <w:sz w:val="32"/>
          <w:szCs w:val="32"/>
        </w:rPr>
        <w:t xml:space="preserve">PARTIE 2 — GUIDE EXPLICATIF</w:t>
      </w:r>
    </w:p>
    <w:p>
      <w:pPr>
        <w:spacing w:after="80" w:before="80"/>
      </w:pPr>
      <w:r>
        <w:rPr>
          <w:sz w:val="22"/>
          <w:szCs w:val="22"/>
        </w:rPr>
        <w:t xml:space="preserve">Ce guide explique simplement chaque action réalisée — ce qu'on a fait, pourquoi, et comment comprendre le résultat.</w:t>
      </w:r>
    </w:p>
    <w:p>
      <w:pPr>
        <w:pBdr>
          <w:bottom w:val="single" w:color="2E75B6" w:sz="4" w:space="1"/>
        </w:pBdr>
        <w:spacing w:after="120" w:before="120"/>
      </w:pPr>
      <w:r>
        <w:t xml:space="preserve"/>
      </w:r>
    </w:p>
    <w:p>
      <w:pPr>
        <w:pStyle w:val="Heading2"/>
        <w:spacing w:after="100" w:before="280"/>
      </w:pPr>
      <w:r>
        <w:rPr>
          <w:b/>
          <w:bCs/>
          <w:color w:val="2E75B6"/>
          <w:sz w:val="26"/>
          <w:szCs w:val="26"/>
        </w:rPr>
        <w:t xml:space="preserve">1. Renommer le serveur</w:t>
      </w:r>
    </w:p>
    <w:p>
      <w:pPr>
        <w:spacing w:after="80" w:before="200"/>
      </w:pPr>
      <w:r>
        <w:rPr>
          <w:b/>
          <w:bCs/>
          <w:color w:val="1F4E79"/>
          <w:sz w:val="24"/>
          <w:szCs w:val="24"/>
        </w:rPr>
        <w:t xml:space="preserve">Ce qu'on a fait</w:t>
      </w:r>
    </w:p>
    <w:p>
      <w:pPr>
        <w:spacing w:after="80" w:before="80"/>
      </w:pPr>
      <w:r>
        <w:rPr>
          <w:sz w:val="22"/>
          <w:szCs w:val="22"/>
        </w:rPr>
        <w:t xml:space="preserve">On a changé le nom de la machine de WIN-XXXXXXX en SRV-MALLET via le Gestionnaire de serveurs → Serveur local.</w:t>
      </w:r>
    </w:p>
    <w:p>
      <w:pPr>
        <w:spacing w:after="80" w:before="200"/>
      </w:pPr>
      <w:r>
        <w:rPr>
          <w:b/>
          <w:bCs/>
          <w:color w:val="1F4E79"/>
          <w:sz w:val="24"/>
          <w:szCs w:val="24"/>
        </w:rPr>
        <w:t xml:space="preserve">Pourquoi</w:t>
      </w:r>
    </w:p>
    <w:p>
      <w:pPr>
        <w:spacing w:after="80" w:before="80"/>
      </w:pPr>
      <w:r>
        <w:rPr>
          <w:sz w:val="22"/>
          <w:szCs w:val="22"/>
        </w:rPr>
        <w:t xml:space="preserve">Un serveur en entreprise doit avoir un nom clair et identifiable. Si tu as 50 machines sur le réseau et que tout s'appelle WIN-XXXXXXX, tu ne sais plus qui fait quoi. SRV = serveur, MALLET = le projet. C'est comme mettre une étiquette sur une boîte.</w:t>
      </w:r>
    </w:p>
    <w:p>
      <w:pPr>
        <w:pBdr>
          <w:bottom w:val="single" w:color="2E75B6" w:sz="4" w:space="1"/>
        </w:pBdr>
        <w:spacing w:after="120" w:before="120"/>
      </w:pPr>
      <w:r>
        <w:t xml:space="preserve"/>
      </w:r>
    </w:p>
    <w:p>
      <w:pPr>
        <w:pStyle w:val="Heading2"/>
        <w:spacing w:after="100" w:before="280"/>
      </w:pPr>
      <w:r>
        <w:rPr>
          <w:b/>
          <w:bCs/>
          <w:color w:val="2E75B6"/>
          <w:sz w:val="26"/>
          <w:szCs w:val="26"/>
        </w:rPr>
        <w:t xml:space="preserve">2. Attribuer une adresse IP fixe</w:t>
      </w:r>
    </w:p>
    <w:p>
      <w:pPr>
        <w:spacing w:after="80" w:before="200"/>
      </w:pPr>
      <w:r>
        <w:rPr>
          <w:b/>
          <w:bCs/>
          <w:color w:val="1F4E79"/>
          <w:sz w:val="24"/>
          <w:szCs w:val="24"/>
        </w:rPr>
        <w:t xml:space="preserve">Ce qu'on a fait</w:t>
      </w:r>
    </w:p>
    <w:p>
      <w:pPr>
        <w:spacing w:after="80" w:before="80"/>
      </w:pPr>
      <w:r>
        <w:rPr>
          <w:sz w:val="22"/>
          <w:szCs w:val="22"/>
        </w:rPr>
        <w:t xml:space="preserve">On a configuré manuellement l'adresse 192.168.1.10 sur la carte réseau du serveur, avec le masque 255.255.255.0, la passerelle 192.168.1.1 et le DNS sur 127.0.0.1 (lui-même).</w:t>
      </w:r>
    </w:p>
    <w:p>
      <w:pPr>
        <w:spacing w:after="80" w:before="200"/>
      </w:pPr>
      <w:r>
        <w:rPr>
          <w:b/>
          <w:bCs/>
          <w:color w:val="1F4E79"/>
          <w:sz w:val="24"/>
          <w:szCs w:val="24"/>
        </w:rPr>
        <w:t xml:space="preserve">Pourquoi</w:t>
      </w:r>
    </w:p>
    <w:p>
      <w:pPr>
        <w:spacing w:after="80" w:before="80"/>
      </w:pPr>
      <w:r>
        <w:rPr>
          <w:sz w:val="22"/>
          <w:szCs w:val="22"/>
        </w:rPr>
        <w:t xml:space="preserve">Par défaut, un ordinateur reçoit une IP automatiquement via le DHCP — et cette IP peut changer à chaque redémarrage. Un serveur ne doit jamais changer d'adresse. Imagine un bureau de poste qui change d'adresse tous les matins : personne ne saurait où envoyer son courrier. L'IP fixe, c'est l'adresse permanente du serveur sur le réseau.</w:t>
      </w:r>
    </w:p>
    <w:p>
      <w:pPr>
        <w:pBdr>
          <w:bottom w:val="single" w:color="2E75B6" w:sz="4" w:space="1"/>
        </w:pBdr>
        <w:spacing w:after="120" w:before="120"/>
      </w:pPr>
      <w:r>
        <w:t xml:space="preserve"/>
      </w:r>
    </w:p>
    <w:p>
      <w:pPr>
        <w:pStyle w:val="Heading2"/>
        <w:spacing w:after="100" w:before="280"/>
      </w:pPr>
      <w:r>
        <w:rPr>
          <w:b/>
          <w:bCs/>
          <w:color w:val="2E75B6"/>
          <w:sz w:val="26"/>
          <w:szCs w:val="26"/>
        </w:rPr>
        <w:t xml:space="preserve">3. Installer le rôle Active Directory Domain Services</w:t>
      </w:r>
    </w:p>
    <w:p>
      <w:pPr>
        <w:spacing w:after="80" w:before="200"/>
      </w:pPr>
      <w:r>
        <w:rPr>
          <w:b/>
          <w:bCs/>
          <w:color w:val="1F4E79"/>
          <w:sz w:val="24"/>
          <w:szCs w:val="24"/>
        </w:rPr>
        <w:t xml:space="preserve">Ce qu'on a fait</w:t>
      </w:r>
    </w:p>
    <w:p>
      <w:pPr>
        <w:spacing w:after="80" w:before="80"/>
      </w:pPr>
      <w:r>
        <w:rPr>
          <w:sz w:val="22"/>
          <w:szCs w:val="22"/>
        </w:rPr>
        <w:t xml:space="preserve">On a ajouté le rôle AD DS via le Gestionnaire de serveurs → Gérer → Ajouter des rôles et fonctionnalités.</w:t>
      </w:r>
    </w:p>
    <w:p>
      <w:pPr>
        <w:spacing w:after="80" w:before="200"/>
      </w:pPr>
      <w:r>
        <w:rPr>
          <w:b/>
          <w:bCs/>
          <w:color w:val="1F4E79"/>
          <w:sz w:val="24"/>
          <w:szCs w:val="24"/>
        </w:rPr>
        <w:t xml:space="preserve">Pourquoi</w:t>
      </w:r>
    </w:p>
    <w:p>
      <w:pPr>
        <w:spacing w:after="80" w:before="80"/>
      </w:pPr>
      <w:r>
        <w:rPr>
          <w:sz w:val="22"/>
          <w:szCs w:val="22"/>
        </w:rPr>
        <w:t xml:space="preserve">Par défaut, Windows Server c'est juste un Windows amélioré. Les rôles, ce sont des modules qu'on active selon ce qu'on veut faire. AD DS, c'est le module qui transforme le serveur en chef d'orchestre du réseau : il va gérer tous les utilisateurs, toutes les machines et tous les droits d'accès depuis un seul endroit.</w:t>
      </w:r>
    </w:p>
    <w:p>
      <w:pPr>
        <w:pBdr>
          <w:bottom w:val="single" w:color="2E75B6" w:sz="4" w:space="1"/>
        </w:pBdr>
        <w:spacing w:after="120" w:before="120"/>
      </w:pPr>
      <w:r>
        <w:t xml:space="preserve"/>
      </w:r>
    </w:p>
    <w:p>
      <w:pPr>
        <w:pStyle w:val="Heading2"/>
        <w:spacing w:after="100" w:before="280"/>
      </w:pPr>
      <w:r>
        <w:rPr>
          <w:b/>
          <w:bCs/>
          <w:color w:val="2E75B6"/>
          <w:sz w:val="26"/>
          <w:szCs w:val="26"/>
        </w:rPr>
        <w:t xml:space="preserve">4. Promouvoir le serveur en contrôleur de domaine</w:t>
      </w:r>
    </w:p>
    <w:p>
      <w:pPr>
        <w:spacing w:after="80" w:before="200"/>
      </w:pPr>
      <w:r>
        <w:rPr>
          <w:b/>
          <w:bCs/>
          <w:color w:val="1F4E79"/>
          <w:sz w:val="24"/>
          <w:szCs w:val="24"/>
        </w:rPr>
        <w:t xml:space="preserve">Ce qu'on a fait</w:t>
      </w:r>
    </w:p>
    <w:p>
      <w:pPr>
        <w:spacing w:after="80" w:before="80"/>
      </w:pPr>
      <w:r>
        <w:rPr>
          <w:sz w:val="22"/>
          <w:szCs w:val="22"/>
        </w:rPr>
        <w:t xml:space="preserve">On a créé une nouvelle forêt avec le domaine mallet.local en promouvant le serveur via l'assistant post-installation d'AD DS.</w:t>
      </w:r>
    </w:p>
    <w:p>
      <w:pPr>
        <w:spacing w:after="80" w:before="200"/>
      </w:pPr>
      <w:r>
        <w:rPr>
          <w:b/>
          <w:bCs/>
          <w:color w:val="1F4E79"/>
          <w:sz w:val="24"/>
          <w:szCs w:val="24"/>
        </w:rPr>
        <w:t xml:space="preserve">Pourquoi</w:t>
      </w:r>
    </w:p>
    <w:p>
      <w:pPr>
        <w:spacing w:after="80" w:before="80"/>
      </w:pPr>
      <w:r>
        <w:rPr>
          <w:sz w:val="22"/>
          <w:szCs w:val="22"/>
        </w:rPr>
        <w:t xml:space="preserve">Installer AD DS, c'est poser les fondations. Promouvoir le serveur, c'est construire la maison. Le domaine mallet.local, c'est le nom du territoire que contrôle ce serveur. Toutes les machines et utilisateurs qui rejoignent ce domaine seront gérés par lui. C'est comme créer un pays avec ses propres lois et son gouvernement.</w:t>
      </w:r>
    </w:p>
    <w:p>
      <w:pPr>
        <w:pBdr>
          <w:bottom w:val="single" w:color="2E75B6" w:sz="4" w:space="1"/>
        </w:pBdr>
        <w:spacing w:after="120" w:before="120"/>
      </w:pPr>
      <w:r>
        <w:t xml:space="preserve"/>
      </w:r>
    </w:p>
    <w:p>
      <w:pPr>
        <w:pStyle w:val="Heading2"/>
        <w:spacing w:after="100" w:before="280"/>
      </w:pPr>
      <w:r>
        <w:rPr>
          <w:b/>
          <w:bCs/>
          <w:color w:val="2E75B6"/>
          <w:sz w:val="26"/>
          <w:szCs w:val="26"/>
        </w:rPr>
        <w:t xml:space="preserve">5. Créer les 3 Unités Organisationnelles (OUs)</w:t>
      </w:r>
    </w:p>
    <w:p>
      <w:pPr>
        <w:spacing w:after="80" w:before="200"/>
      </w:pPr>
      <w:r>
        <w:rPr>
          <w:b/>
          <w:bCs/>
          <w:color w:val="1F4E79"/>
          <w:sz w:val="24"/>
          <w:szCs w:val="24"/>
        </w:rPr>
        <w:t xml:space="preserve">Ce qu'on a fait</w:t>
      </w:r>
    </w:p>
    <w:p>
      <w:pPr>
        <w:spacing w:after="80" w:before="80"/>
      </w:pPr>
      <w:r>
        <w:rPr>
          <w:sz w:val="22"/>
          <w:szCs w:val="22"/>
        </w:rPr>
        <w:t xml:space="preserve">On a créé ADMIN, PEDAGOGIQUE et DIRECTION via Outils → Utilisateurs et ordinateurs Active Directory → clic droit sur mallet.local → Nouveau → Unité d'organisation.</w:t>
      </w:r>
    </w:p>
    <w:p>
      <w:pPr>
        <w:spacing w:after="80" w:before="200"/>
      </w:pPr>
      <w:r>
        <w:rPr>
          <w:b/>
          <w:bCs/>
          <w:color w:val="1F4E79"/>
          <w:sz w:val="24"/>
          <w:szCs w:val="24"/>
        </w:rPr>
        <w:t xml:space="preserve">Pourquoi</w:t>
      </w:r>
    </w:p>
    <w:p>
      <w:pPr>
        <w:spacing w:after="80" w:before="80"/>
      </w:pPr>
      <w:r>
        <w:rPr>
          <w:sz w:val="22"/>
          <w:szCs w:val="22"/>
        </w:rPr>
        <w:t xml:space="preserve">Une OU, c'est comme un dossier dans l'Active Directory. On range les utilisateurs dedans selon leur profil. Ça permet d'appliquer des règles différentes à chaque groupe : les admins n'ont pas les mêmes droits que les éducateurs, et les directeurs ont accès à des données confidentielles. Sans OUs, tout le monde aurait les mêmes droits — c'est une faille de sécurité majeure.</w:t>
      </w:r>
    </w:p>
    <w:p>
      <w:pPr>
        <w:pBdr>
          <w:bottom w:val="single" w:color="2E75B6" w:sz="4" w:space="1"/>
        </w:pBdr>
        <w:spacing w:after="120" w:before="120"/>
      </w:pPr>
      <w:r>
        <w:t xml:space="preserve"/>
      </w:r>
    </w:p>
    <w:p>
      <w:pPr>
        <w:pStyle w:val="Heading2"/>
        <w:spacing w:after="100" w:before="280"/>
      </w:pPr>
      <w:r>
        <w:rPr>
          <w:b/>
          <w:bCs/>
          <w:color w:val="2E75B6"/>
          <w:sz w:val="26"/>
          <w:szCs w:val="26"/>
        </w:rPr>
        <w:t xml:space="preserve">6. Créer les groupes de sécurité</w:t>
      </w:r>
    </w:p>
    <w:p>
      <w:pPr>
        <w:spacing w:after="80" w:before="200"/>
      </w:pPr>
      <w:r>
        <w:rPr>
          <w:b/>
          <w:bCs/>
          <w:color w:val="1F4E79"/>
          <w:sz w:val="24"/>
          <w:szCs w:val="24"/>
        </w:rPr>
        <w:t xml:space="preserve">Ce qu'on a fait</w:t>
      </w:r>
    </w:p>
    <w:p>
      <w:pPr>
        <w:spacing w:after="80" w:before="80"/>
      </w:pPr>
      <w:r>
        <w:rPr>
          <w:sz w:val="22"/>
          <w:szCs w:val="22"/>
        </w:rPr>
        <w:t xml:space="preserve">Dans chaque OU, on a créé un groupe de sécurité global : GRP-ADMIN, GRP-PEDAGOGIQUE, GRP-DIRECTION.</w:t>
      </w:r>
    </w:p>
    <w:p>
      <w:pPr>
        <w:spacing w:after="80" w:before="200"/>
      </w:pPr>
      <w:r>
        <w:rPr>
          <w:b/>
          <w:bCs/>
          <w:color w:val="1F4E79"/>
          <w:sz w:val="24"/>
          <w:szCs w:val="24"/>
        </w:rPr>
        <w:t xml:space="preserve">Pourquoi</w:t>
      </w:r>
    </w:p>
    <w:p>
      <w:pPr>
        <w:spacing w:after="80" w:before="80"/>
      </w:pPr>
      <w:r>
        <w:rPr>
          <w:sz w:val="22"/>
          <w:szCs w:val="22"/>
        </w:rPr>
        <w:t xml:space="preserve">Le groupe de sécurité, c'est l'intermédiaire entre l'utilisateur et ses droits. Au lieu de donner des droits à chaque utilisateur un par un, tu donnes les droits au groupe — et tous ceux dedans en bénéficient automatiquement. Si un nouvel employé arrive, tu l'ajoutes au groupe et c'est réglé. C'est comme une carte d'accès : tu crées la carte une fois et tu la donnes à qui tu veux.</w:t>
      </w:r>
    </w:p>
    <w:p>
      <w:pPr>
        <w:pBdr>
          <w:bottom w:val="single" w:color="2E75B6" w:sz="4" w:space="1"/>
        </w:pBdr>
        <w:spacing w:after="120" w:before="120"/>
      </w:pPr>
      <w:r>
        <w:t xml:space="preserve"/>
      </w:r>
    </w:p>
    <w:p>
      <w:pPr>
        <w:pStyle w:val="Heading2"/>
        <w:spacing w:after="100" w:before="280"/>
      </w:pPr>
      <w:r>
        <w:rPr>
          <w:b/>
          <w:bCs/>
          <w:color w:val="2E75B6"/>
          <w:sz w:val="26"/>
          <w:szCs w:val="26"/>
        </w:rPr>
        <w:t xml:space="preserve">7. Créer les comptes utilisateurs</w:t>
      </w:r>
    </w:p>
    <w:p>
      <w:pPr>
        <w:spacing w:after="80" w:before="200"/>
      </w:pPr>
      <w:r>
        <w:rPr>
          <w:b/>
          <w:bCs/>
          <w:color w:val="1F4E79"/>
          <w:sz w:val="24"/>
          <w:szCs w:val="24"/>
        </w:rPr>
        <w:t xml:space="preserve">Ce qu'on a fait</w:t>
      </w:r>
    </w:p>
    <w:p>
      <w:pPr>
        <w:spacing w:after="80" w:before="80"/>
      </w:pPr>
      <w:r>
        <w:rPr>
          <w:sz w:val="22"/>
          <w:szCs w:val="22"/>
        </w:rPr>
        <w:t xml:space="preserve">On a créé un utilisateur dans chaque OU (a.systeme dans ADMIN, p.educateur dans PEDAGOGIQUE, m.directrice dans DIRECTION) et on les a ajoutés à leur groupe correspondant.</w:t>
      </w:r>
    </w:p>
    <w:p>
      <w:pPr>
        <w:spacing w:after="80" w:before="200"/>
      </w:pPr>
      <w:r>
        <w:rPr>
          <w:b/>
          <w:bCs/>
          <w:color w:val="1F4E79"/>
          <w:sz w:val="24"/>
          <w:szCs w:val="24"/>
        </w:rPr>
        <w:t xml:space="preserve">Pourquoi</w:t>
      </w:r>
    </w:p>
    <w:p>
      <w:pPr>
        <w:spacing w:after="80" w:before="80"/>
      </w:pPr>
      <w:r>
        <w:rPr>
          <w:sz w:val="22"/>
          <w:szCs w:val="22"/>
        </w:rPr>
        <w:t xml:space="preserve">Chaque employé de la Fondation Mallet a besoin d'un compte pour se connecter au domaine. En les créant dans la bonne OU et le bon groupe, ils héritent automatiquement des règles et droits prévus pour leur profil. C'est comme donner un badge d'entrée à chaque employé selon son poste.</w:t>
      </w:r>
    </w:p>
    <w:p>
      <w:pPr>
        <w:pBdr>
          <w:bottom w:val="single" w:color="2E75B6" w:sz="4" w:space="1"/>
        </w:pBdr>
        <w:spacing w:after="120" w:before="120"/>
      </w:pPr>
      <w:r>
        <w:t xml:space="preserve"/>
      </w:r>
    </w:p>
    <w:p>
      <w:pPr>
        <w:pStyle w:val="Heading2"/>
        <w:spacing w:after="100" w:before="280"/>
      </w:pPr>
      <w:r>
        <w:rPr>
          <w:b/>
          <w:bCs/>
          <w:color w:val="2E75B6"/>
          <w:sz w:val="26"/>
          <w:szCs w:val="26"/>
        </w:rPr>
        <w:t xml:space="preserve">8. GPO-ADMIN — Politique de mots de passe</w:t>
      </w:r>
    </w:p>
    <w:p>
      <w:pPr>
        <w:spacing w:after="80" w:before="200"/>
      </w:pPr>
      <w:r>
        <w:rPr>
          <w:b/>
          <w:bCs/>
          <w:color w:val="1F4E79"/>
          <w:sz w:val="24"/>
          <w:szCs w:val="24"/>
        </w:rPr>
        <w:t xml:space="preserve">Ce qu'on a fait</w:t>
      </w:r>
    </w:p>
    <w:p>
      <w:pPr>
        <w:spacing w:after="80" w:before="80"/>
      </w:pPr>
      <w:r>
        <w:rPr>
          <w:sz w:val="22"/>
          <w:szCs w:val="22"/>
        </w:rPr>
        <w:t xml:space="preserve">Via l'éditeur de GPO lié à l'OU ADMIN : mot de passe minimum 12 caractères, complexité activée, expiration tous les 90 jours.</w:t>
      </w:r>
    </w:p>
    <w:p>
      <w:pPr>
        <w:spacing w:after="80" w:before="200"/>
      </w:pPr>
      <w:r>
        <w:rPr>
          <w:b/>
          <w:bCs/>
          <w:color w:val="1F4E79"/>
          <w:sz w:val="24"/>
          <w:szCs w:val="24"/>
        </w:rPr>
        <w:t xml:space="preserve">Pourquoi</w:t>
      </w:r>
    </w:p>
    <w:p>
      <w:pPr>
        <w:spacing w:after="80" w:before="80"/>
      </w:pPr>
      <w:r>
        <w:rPr>
          <w:sz w:val="22"/>
          <w:szCs w:val="22"/>
        </w:rPr>
        <w:t xml:space="preserve">Les admins ont accès à tout le système. Si leur mot de passe est faible, c'est la catastrophe. La GPO les oblige à avoir un mot de passe solide. C'est comme imposer un code de coffre-fort à 12 chiffres plutôt que d'accepter 1234.</w:t>
      </w:r>
    </w:p>
    <w:p>
      <w:pPr>
        <w:pBdr>
          <w:bottom w:val="single" w:color="2E75B6" w:sz="4" w:space="1"/>
        </w:pBdr>
        <w:spacing w:after="120" w:before="120"/>
      </w:pPr>
      <w:r>
        <w:t xml:space="preserve"/>
      </w:r>
    </w:p>
    <w:p>
      <w:pPr>
        <w:pStyle w:val="Heading2"/>
        <w:spacing w:after="100" w:before="280"/>
      </w:pPr>
      <w:r>
        <w:rPr>
          <w:b/>
          <w:bCs/>
          <w:color w:val="2E75B6"/>
          <w:sz w:val="26"/>
          <w:szCs w:val="26"/>
        </w:rPr>
        <w:t xml:space="preserve">9. GPO-PEDAGOGIQUE — Restrictions système</w:t>
      </w:r>
    </w:p>
    <w:p>
      <w:pPr>
        <w:spacing w:after="80" w:before="200"/>
      </w:pPr>
      <w:r>
        <w:rPr>
          <w:b/>
          <w:bCs/>
          <w:color w:val="1F4E79"/>
          <w:sz w:val="24"/>
          <w:szCs w:val="24"/>
        </w:rPr>
        <w:t xml:space="preserve">Ce qu'on a fait</w:t>
      </w:r>
    </w:p>
    <w:p>
      <w:pPr>
        <w:spacing w:after="80" w:before="80"/>
      </w:pPr>
      <w:r>
        <w:rPr>
          <w:sz w:val="22"/>
          <w:szCs w:val="22"/>
        </w:rPr>
        <w:t xml:space="preserve">Via Configuration utilisateur → Modèles d'administration : blocage du registre et du panneau de configuration.</w:t>
      </w:r>
    </w:p>
    <w:p>
      <w:pPr>
        <w:spacing w:after="80" w:before="200"/>
      </w:pPr>
      <w:r>
        <w:rPr>
          <w:b/>
          <w:bCs/>
          <w:color w:val="1F4E79"/>
          <w:sz w:val="24"/>
          <w:szCs w:val="24"/>
        </w:rPr>
        <w:t xml:space="preserve">Pourquoi</w:t>
      </w:r>
    </w:p>
    <w:p>
      <w:pPr>
        <w:spacing w:after="80" w:before="80"/>
      </w:pPr>
      <w:r>
        <w:rPr>
          <w:sz w:val="22"/>
          <w:szCs w:val="22"/>
        </w:rPr>
        <w:t xml:space="preserve">Les éducateurs n'ont pas besoin de modifier le système. Si on leur laisse l'accès au registre ou au panneau de config, ils peuvent casser des choses par erreur ou intentionnellement. On leur donne accès uniquement à leurs outils de travail — ni plus ni moins. C'est comme donner les clés de la salle de classe mais pas celles de la salle des serveurs.</w:t>
      </w:r>
    </w:p>
    <w:p>
      <w:pPr>
        <w:pBdr>
          <w:bottom w:val="single" w:color="2E75B6" w:sz="4" w:space="1"/>
        </w:pBdr>
        <w:spacing w:after="120" w:before="120"/>
      </w:pPr>
      <w:r>
        <w:t xml:space="preserve"/>
      </w:r>
    </w:p>
    <w:p>
      <w:pPr>
        <w:pStyle w:val="Heading2"/>
        <w:spacing w:after="100" w:before="280"/>
      </w:pPr>
      <w:r>
        <w:rPr>
          <w:b/>
          <w:bCs/>
          <w:color w:val="2E75B6"/>
          <w:sz w:val="26"/>
          <w:szCs w:val="26"/>
        </w:rPr>
        <w:t xml:space="preserve">10. GPO-DIRECTION — Blocage des USB</w:t>
      </w:r>
    </w:p>
    <w:p>
      <w:pPr>
        <w:spacing w:after="80" w:before="200"/>
      </w:pPr>
      <w:r>
        <w:rPr>
          <w:b/>
          <w:bCs/>
          <w:color w:val="1F4E79"/>
          <w:sz w:val="24"/>
          <w:szCs w:val="24"/>
        </w:rPr>
        <w:t xml:space="preserve">Ce qu'on a fait</w:t>
      </w:r>
    </w:p>
    <w:p>
      <w:pPr>
        <w:spacing w:after="80" w:before="80"/>
      </w:pPr>
      <w:r>
        <w:rPr>
          <w:sz w:val="22"/>
          <w:szCs w:val="22"/>
        </w:rPr>
        <w:t xml:space="preserve">Via Configuration ordinateur → Modèles d'administration → Système → Accès au stockage amovible : tous les périphériques amovibles bloqués.</w:t>
      </w:r>
    </w:p>
    <w:p>
      <w:pPr>
        <w:spacing w:after="80" w:before="200"/>
      </w:pPr>
      <w:r>
        <w:rPr>
          <w:b/>
          <w:bCs/>
          <w:color w:val="1F4E79"/>
          <w:sz w:val="24"/>
          <w:szCs w:val="24"/>
        </w:rPr>
        <w:t xml:space="preserve">Pourquoi</w:t>
      </w:r>
    </w:p>
    <w:p>
      <w:pPr>
        <w:spacing w:after="80" w:before="80"/>
      </w:pPr>
      <w:r>
        <w:rPr>
          <w:sz w:val="22"/>
          <w:szCs w:val="22"/>
        </w:rPr>
        <w:t xml:space="preserve">La direction a accès aux données les plus sensibles — dossiers des patients, données RH, finances. Sans restriction, n'importe qui pourrait brancher une clé USB et copier tous ces fichiers en 2 minutes. Bloquer l'USB, c'est empêcher les fuites de données. C'est une obligation RGPD pour une fondation médico-sociale comme Mallet.</w:t>
      </w:r>
    </w:p>
    <w:p>
      <w:pPr>
        <w:pBdr>
          <w:bottom w:val="single" w:color="2E75B6" w:sz="4" w:space="1"/>
        </w:pBdr>
        <w:spacing w:after="120" w:before="120"/>
      </w:pPr>
      <w:r>
        <w:t xml:space="preserve"/>
      </w:r>
    </w:p>
    <w:p>
      <w:pPr>
        <w:spacing w:after="200" w:before="400"/>
        <w:jc w:val="center"/>
      </w:pPr>
      <w:r>
        <w:rPr>
          <w:i/>
          <w:iCs/>
          <w:color w:val="999999"/>
          <w:sz w:val="18"/>
          <w:szCs w:val="18"/>
        </w:rPr>
        <w:t xml:space="preserve">Projet Mallet · BTS SIO · 2025–2026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2026-06-10T16:38:39.137Z</dcterms:created>
  <dcterms:modified xsi:type="dcterms:W3CDTF">2026-06-10T16:38:39.138Z</dcterms:modified>
</cp:coreProperties>
</file>

<file path=docProps/custom.xml><?xml version="1.0" encoding="utf-8"?>
<Properties xmlns="http://schemas.openxmlformats.org/officeDocument/2006/custom-properties" xmlns:vt="http://schemas.openxmlformats.org/officeDocument/2006/docPropsVTypes"/>
</file>