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7EA23" w14:textId="0D4CF19F" w:rsidR="004C44C0" w:rsidRDefault="00DA6045" w:rsidP="00DA6045">
      <w:pPr>
        <w:pStyle w:val="1"/>
      </w:pPr>
      <w:r>
        <w:rPr>
          <w:rFonts w:hint="eastAsia"/>
        </w:rPr>
        <w:t>度数分布とヒストグラム</w:t>
      </w:r>
    </w:p>
    <w:p w14:paraId="6302A517" w14:textId="5E62C182" w:rsidR="00F9019E" w:rsidRDefault="00DA6045" w:rsidP="00F9019E">
      <w:pPr>
        <w:pStyle w:val="a3"/>
        <w:numPr>
          <w:ilvl w:val="0"/>
          <w:numId w:val="1"/>
        </w:numPr>
        <w:ind w:leftChars="0"/>
      </w:pPr>
      <w:r>
        <w:rPr>
          <w:rFonts w:hint="eastAsia"/>
        </w:rPr>
        <w:t>所得分布のヒストグラムなどの場合、最初の階級には下限値がなく、最後の階級には上限値がない。これを「両側に開いた分布」ということがある。これらの階級については、厳密にはヒストグラムを書くことが出来ない。</w:t>
      </w:r>
      <w:r w:rsidRPr="00F9019E">
        <w:rPr>
          <w:rFonts w:hint="eastAsia"/>
          <w:highlight w:val="yellow"/>
        </w:rPr>
        <w:t>一般に下限値を0と見なし、上限値は適当な値を定める。</w:t>
      </w:r>
      <w:r w:rsidR="00F9019E">
        <w:br/>
      </w:r>
      <w:r w:rsidR="00F9019E" w:rsidRPr="00F9019E">
        <w:rPr>
          <w:rFonts w:hint="eastAsia"/>
        </w:rPr>
        <w:t>また</w:t>
      </w:r>
      <w:r w:rsidR="00F9019E">
        <w:rPr>
          <w:rFonts w:hint="eastAsia"/>
        </w:rPr>
        <w:t>、厳密な累積度数グラフを作成することもできない。便宜上、最初の階級の下限値を0にすると同時に、最後の階級については累積相対度数が1にきわみて近い点を適当に定めて点を結ぶ</w:t>
      </w:r>
    </w:p>
    <w:p w14:paraId="1C2E4F94" w14:textId="63C73AE7" w:rsidR="00634792" w:rsidRDefault="00634792" w:rsidP="00333244">
      <w:pPr>
        <w:pStyle w:val="a3"/>
        <w:numPr>
          <w:ilvl w:val="0"/>
          <w:numId w:val="1"/>
        </w:numPr>
        <w:ind w:leftChars="0"/>
      </w:pPr>
      <w:r>
        <w:rPr>
          <w:rFonts w:hint="eastAsia"/>
        </w:rPr>
        <w:t>累積相対度数のグラフについては、各階級に対して2つの異なるデータが与えられている場合（従業者別の事業所数と従業者数）、それらを組み合わせて描くことも出来る。</w:t>
      </w:r>
      <w:r w:rsidRPr="00634792">
        <w:rPr>
          <w:rFonts w:hint="eastAsia"/>
          <w:highlight w:val="yellow"/>
        </w:rPr>
        <w:t>累積相対度数を組み合わせて描いた折れ線をローレンツ曲線と呼ぶ。</w:t>
      </w:r>
      <w:r>
        <w:rPr>
          <w:rFonts w:hint="eastAsia"/>
        </w:rPr>
        <w:t>ローレンツ曲線は所得や資産がどの程度不平等に分配されているかを示すのに用いられる</w:t>
      </w:r>
      <w:r w:rsidR="00333244">
        <w:rPr>
          <w:rFonts w:hint="eastAsia"/>
        </w:rPr>
        <w:t>（</w:t>
      </w:r>
      <w:hyperlink r:id="rId5" w:history="1">
        <w:r w:rsidR="00333244" w:rsidRPr="00AF2913">
          <w:rPr>
            <w:rStyle w:val="a4"/>
          </w:rPr>
          <w:t>https://ja.wikipedia.org/wiki/%E3%83%AD%E3%83%BC%E3%83%AC%E3%83%B3%E3%83%84%E6%9B%B2%E7%B7%9A</w:t>
        </w:r>
      </w:hyperlink>
      <w:r w:rsidR="00333244">
        <w:rPr>
          <w:rFonts w:hint="eastAsia"/>
        </w:rPr>
        <w:t>）</w:t>
      </w:r>
    </w:p>
    <w:p w14:paraId="6D2B948B" w14:textId="17D4F36C" w:rsidR="00333244" w:rsidRDefault="00373AF3" w:rsidP="00373AF3">
      <w:pPr>
        <w:pStyle w:val="1"/>
      </w:pPr>
      <w:r>
        <w:rPr>
          <w:rFonts w:hint="eastAsia"/>
        </w:rPr>
        <w:t>代表値</w:t>
      </w:r>
    </w:p>
    <w:p w14:paraId="7EFE9468" w14:textId="3782D08F" w:rsidR="00102400" w:rsidRPr="00102400" w:rsidRDefault="00102400" w:rsidP="00373AF3">
      <w:pPr>
        <w:pStyle w:val="a3"/>
        <w:numPr>
          <w:ilvl w:val="0"/>
          <w:numId w:val="2"/>
        </w:numPr>
        <w:ind w:leftChars="0"/>
      </w:pPr>
      <w:r>
        <w:rPr>
          <w:rFonts w:hint="eastAsia"/>
        </w:rPr>
        <w:t>幾何平均(相乗平均</w:t>
      </w:r>
      <w:r>
        <w:t>)</w:t>
      </w:r>
      <w:r>
        <w:rPr>
          <w:rFonts w:hint="eastAsia"/>
        </w:rPr>
        <w:t>(</w:t>
      </w:r>
      <w:hyperlink r:id="rId6" w:history="1">
        <w:r>
          <w:rPr>
            <w:rStyle w:val="a4"/>
          </w:rPr>
          <w:t>https://www.youtube.com/watch?v=X_2Yoq5AjU0</w:t>
        </w:r>
      </w:hyperlink>
      <w:r>
        <w:t>)</w:t>
      </w:r>
    </w:p>
    <w:p w14:paraId="5F8B46A1" w14:textId="74FF3E1B" w:rsidR="00373AF3" w:rsidRPr="00102400" w:rsidRDefault="006F0C76" w:rsidP="00102400">
      <w:pPr>
        <w:pStyle w:val="a3"/>
        <w:numPr>
          <w:ilvl w:val="1"/>
          <w:numId w:val="2"/>
        </w:numPr>
        <w:ind w:leftChars="0"/>
      </w:p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n</m:t>
            </m:r>
          </m:deg>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m:t>
                </m:r>
                <m:r>
                  <w:rPr>
                    <w:rFonts w:ascii="Cambria Math" w:hAnsi="Cambria Math"/>
                  </w:rPr>
                  <m:t>∙x</m:t>
                </m:r>
              </m:e>
              <m:sub>
                <m:r>
                  <w:rPr>
                    <w:rFonts w:ascii="Cambria Math" w:hAnsi="Cambria Math"/>
                  </w:rPr>
                  <m:t>1</m:t>
                </m:r>
              </m:sub>
            </m:sSub>
          </m:e>
        </m:rad>
      </m:oMath>
    </w:p>
    <w:p w14:paraId="5A9A4FCD" w14:textId="3087C372" w:rsidR="00102400" w:rsidRPr="00102400" w:rsidRDefault="00102400" w:rsidP="00102400">
      <w:pPr>
        <w:pStyle w:val="a3"/>
        <w:numPr>
          <w:ilvl w:val="1"/>
          <w:numId w:val="2"/>
        </w:numPr>
        <w:ind w:leftChars="0"/>
      </w:pPr>
      <w:r w:rsidRPr="00102400">
        <w:rPr>
          <w:rFonts w:hint="eastAsia"/>
          <w:highlight w:val="yellow"/>
        </w:rPr>
        <w:t>伸び率の平均を出す</w:t>
      </w:r>
      <w:r>
        <w:rPr>
          <w:rFonts w:hint="eastAsia"/>
        </w:rPr>
        <w:t>のは、算術平均よりも幾何平均の方が優れている</w:t>
      </w:r>
    </w:p>
    <w:p w14:paraId="6361C521" w14:textId="3332C5CB" w:rsidR="00102400" w:rsidRPr="00102400" w:rsidRDefault="00102400" w:rsidP="00102400">
      <w:pPr>
        <w:pStyle w:val="a3"/>
        <w:numPr>
          <w:ilvl w:val="0"/>
          <w:numId w:val="2"/>
        </w:numPr>
        <w:ind w:leftChars="0"/>
      </w:pPr>
      <w:r>
        <w:rPr>
          <w:rFonts w:hint="eastAsia"/>
        </w:rPr>
        <w:t>調和平均</w:t>
      </w:r>
    </w:p>
    <w:p w14:paraId="3DDAD217" w14:textId="578BD32E" w:rsidR="00102400" w:rsidRDefault="00824E84" w:rsidP="00824E84">
      <w:pPr>
        <w:pStyle w:val="1"/>
      </w:pPr>
      <w:r>
        <w:rPr>
          <w:rFonts w:hint="eastAsia"/>
        </w:rPr>
        <w:t>散らばりの尺度</w:t>
      </w:r>
    </w:p>
    <w:p w14:paraId="2A31610E" w14:textId="75C1AF9E" w:rsidR="00824E84" w:rsidRPr="006F0C76" w:rsidRDefault="00824E84" w:rsidP="00824E84">
      <w:pPr>
        <w:pStyle w:val="a3"/>
        <w:numPr>
          <w:ilvl w:val="0"/>
          <w:numId w:val="3"/>
        </w:numPr>
        <w:ind w:leftChars="0"/>
        <w:rPr>
          <w:rStyle w:val="a6"/>
          <w:color w:val="auto"/>
        </w:rPr>
      </w:pPr>
      <w:r>
        <w:rPr>
          <w:rFonts w:hint="eastAsia"/>
        </w:rPr>
        <w:t>平均偏差も標準偏差も、ともに分布の散らばりの程度を示す指標であるが、平均偏差が用いられることはほぼない。</w:t>
      </w:r>
      <w:r>
        <w:br/>
      </w:r>
      <w:r>
        <w:rPr>
          <w:rFonts w:hint="eastAsia"/>
        </w:rPr>
        <w:t>元々の観測値が明らかにされておらず、度数分布表だけが存在する時でも、標準偏差は計算をすることが可能である。</w:t>
      </w:r>
      <w:r>
        <w:br/>
      </w:r>
      <m:oMathPara>
        <m:oMathParaPr>
          <m:jc m:val="left"/>
        </m:oMathParaPr>
        <m:oMath>
          <m:sSup>
            <m:sSupPr>
              <m:ctrlPr>
                <w:rPr>
                  <w:rStyle w:val="a6"/>
                  <w:rFonts w:ascii="Cambria Math" w:hAnsi="Cambria Math"/>
                </w:rPr>
              </m:ctrlPr>
            </m:sSupPr>
            <m:e>
              <m:r>
                <m:rPr>
                  <m:sty m:val="p"/>
                </m:rPr>
                <w:rPr>
                  <w:rStyle w:val="a6"/>
                  <w:rFonts w:ascii="Cambria Math" w:hAnsi="Cambria Math"/>
                </w:rPr>
                <m:t>S</m:t>
              </m:r>
            </m:e>
            <m:sup>
              <m:r>
                <w:rPr>
                  <w:rStyle w:val="a6"/>
                  <w:rFonts w:ascii="Cambria Math" w:hAnsi="Cambria Math"/>
                </w:rPr>
                <m:t>2</m:t>
              </m:r>
            </m:sup>
          </m:sSup>
          <m:r>
            <w:rPr>
              <w:rStyle w:val="a6"/>
              <w:rFonts w:ascii="Cambria Math" w:hAnsi="Cambria Math"/>
            </w:rPr>
            <m:t>=</m:t>
          </m:r>
          <m:f>
            <m:fPr>
              <m:ctrlPr>
                <w:rPr>
                  <w:rStyle w:val="a6"/>
                  <w:rFonts w:ascii="Cambria Math" w:hAnsi="Cambria Math"/>
                  <w:i/>
                </w:rPr>
              </m:ctrlPr>
            </m:fPr>
            <m:num>
              <m:nary>
                <m:naryPr>
                  <m:chr m:val="∑"/>
                  <m:limLoc m:val="undOvr"/>
                  <m:subHide m:val="1"/>
                  <m:supHide m:val="1"/>
                  <m:ctrlPr>
                    <w:rPr>
                      <w:rStyle w:val="a6"/>
                      <w:rFonts w:ascii="Cambria Math" w:hAnsi="Cambria Math"/>
                      <w:i/>
                    </w:rPr>
                  </m:ctrlPr>
                </m:naryPr>
                <m:sub/>
                <m:sup/>
                <m:e>
                  <m:sSub>
                    <m:sSubPr>
                      <m:ctrlPr>
                        <w:rPr>
                          <w:rStyle w:val="a6"/>
                          <w:rFonts w:ascii="Cambria Math" w:hAnsi="Cambria Math"/>
                          <w:i/>
                        </w:rPr>
                      </m:ctrlPr>
                    </m:sSubPr>
                    <m:e>
                      <m:r>
                        <w:rPr>
                          <w:rStyle w:val="a6"/>
                          <w:rFonts w:ascii="Cambria Math" w:hAnsi="Cambria Math"/>
                        </w:rPr>
                        <m:t>f</m:t>
                      </m:r>
                    </m:e>
                    <m:sub>
                      <m:r>
                        <w:rPr>
                          <w:rStyle w:val="a6"/>
                          <w:rFonts w:ascii="Cambria Math" w:hAnsi="Cambria Math"/>
                        </w:rPr>
                        <m:t>1</m:t>
                      </m:r>
                    </m:sub>
                  </m:sSub>
                  <m:sSup>
                    <m:sSupPr>
                      <m:ctrlPr>
                        <w:rPr>
                          <w:rStyle w:val="a6"/>
                          <w:rFonts w:ascii="Cambria Math" w:hAnsi="Cambria Math"/>
                          <w:i/>
                        </w:rPr>
                      </m:ctrlPr>
                    </m:sSupPr>
                    <m:e>
                      <m:r>
                        <w:rPr>
                          <w:rStyle w:val="a6"/>
                          <w:rFonts w:ascii="Cambria Math" w:hAnsi="Cambria Math"/>
                        </w:rPr>
                        <m:t>(</m:t>
                      </m:r>
                      <m:sSub>
                        <m:sSubPr>
                          <m:ctrlPr>
                            <w:rPr>
                              <w:rStyle w:val="a6"/>
                              <w:rFonts w:ascii="Cambria Math" w:hAnsi="Cambria Math"/>
                              <w:i/>
                            </w:rPr>
                          </m:ctrlPr>
                        </m:sSubPr>
                        <m:e>
                          <m:r>
                            <w:rPr>
                              <w:rStyle w:val="a6"/>
                              <w:rFonts w:ascii="Cambria Math" w:hAnsi="Cambria Math"/>
                            </w:rPr>
                            <m:t>v</m:t>
                          </m:r>
                        </m:e>
                        <m:sub>
                          <m:r>
                            <w:rPr>
                              <w:rStyle w:val="a6"/>
                              <w:rFonts w:ascii="Cambria Math" w:hAnsi="Cambria Math"/>
                            </w:rPr>
                            <m:t>1</m:t>
                          </m:r>
                        </m:sub>
                      </m:sSub>
                      <m:r>
                        <w:rPr>
                          <w:rStyle w:val="a6"/>
                          <w:rFonts w:ascii="Cambria Math" w:hAnsi="Cambria Math"/>
                        </w:rPr>
                        <m:t>-</m:t>
                      </m:r>
                      <m:acc>
                        <m:accPr>
                          <m:chr m:val="̅"/>
                          <m:ctrlPr>
                            <w:rPr>
                              <w:rStyle w:val="a6"/>
                              <w:rFonts w:ascii="Cambria Math" w:hAnsi="Cambria Math"/>
                              <w:i/>
                            </w:rPr>
                          </m:ctrlPr>
                        </m:accPr>
                        <m:e>
                          <m:r>
                            <w:rPr>
                              <w:rStyle w:val="a6"/>
                              <w:rFonts w:ascii="Cambria Math" w:hAnsi="Cambria Math"/>
                            </w:rPr>
                            <m:t>x</m:t>
                          </m:r>
                        </m:e>
                      </m:acc>
                      <m:r>
                        <w:rPr>
                          <w:rStyle w:val="a6"/>
                          <w:rFonts w:ascii="Cambria Math" w:hAnsi="Cambria Math"/>
                        </w:rPr>
                        <m:t>)</m:t>
                      </m:r>
                    </m:e>
                    <m:sup>
                      <m:r>
                        <w:rPr>
                          <w:rStyle w:val="a6"/>
                          <w:rFonts w:ascii="Cambria Math" w:hAnsi="Cambria Math"/>
                        </w:rPr>
                        <m:t>2</m:t>
                      </m:r>
                    </m:sup>
                  </m:sSup>
                </m:e>
              </m:nary>
            </m:num>
            <m:den>
              <m:nary>
                <m:naryPr>
                  <m:chr m:val="∑"/>
                  <m:limLoc m:val="undOvr"/>
                  <m:subHide m:val="1"/>
                  <m:supHide m:val="1"/>
                  <m:ctrlPr>
                    <w:rPr>
                      <w:rStyle w:val="a6"/>
                      <w:rFonts w:ascii="Cambria Math" w:hAnsi="Cambria Math"/>
                      <w:i/>
                    </w:rPr>
                  </m:ctrlPr>
                </m:naryPr>
                <m:sub/>
                <m:sup/>
                <m:e>
                  <m:sSub>
                    <m:sSubPr>
                      <m:ctrlPr>
                        <w:rPr>
                          <w:rStyle w:val="a6"/>
                          <w:rFonts w:ascii="Cambria Math" w:hAnsi="Cambria Math"/>
                          <w:i/>
                        </w:rPr>
                      </m:ctrlPr>
                    </m:sSubPr>
                    <m:e>
                      <m:r>
                        <w:rPr>
                          <w:rStyle w:val="a6"/>
                          <w:rFonts w:ascii="Cambria Math" w:hAnsi="Cambria Math"/>
                        </w:rPr>
                        <m:t>f</m:t>
                      </m:r>
                    </m:e>
                    <m:sub>
                      <m:r>
                        <w:rPr>
                          <w:rStyle w:val="a6"/>
                          <w:rFonts w:ascii="Cambria Math" w:hAnsi="Cambria Math"/>
                        </w:rPr>
                        <m:t>1</m:t>
                      </m:r>
                    </m:sub>
                  </m:sSub>
                </m:e>
              </m:nary>
            </m:den>
          </m:f>
        </m:oMath>
      </m:oMathPara>
    </w:p>
    <w:p w14:paraId="227B49F8" w14:textId="77777777" w:rsidR="006F0C76" w:rsidRPr="00824E84" w:rsidRDefault="006F0C76" w:rsidP="00824E84">
      <w:pPr>
        <w:pStyle w:val="a3"/>
        <w:numPr>
          <w:ilvl w:val="0"/>
          <w:numId w:val="3"/>
        </w:numPr>
        <w:ind w:leftChars="0"/>
      </w:pPr>
    </w:p>
    <w:sectPr w:rsidR="006F0C76" w:rsidRPr="00824E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E6150"/>
    <w:multiLevelType w:val="hybridMultilevel"/>
    <w:tmpl w:val="01CE8240"/>
    <w:lvl w:ilvl="0" w:tplc="04090001">
      <w:start w:val="1"/>
      <w:numFmt w:val="bullet"/>
      <w:lvlText w:val=""/>
      <w:lvlJc w:val="left"/>
      <w:pPr>
        <w:ind w:left="420" w:hanging="420"/>
      </w:pPr>
      <w:rPr>
        <w:rFonts w:ascii="Wingdings" w:hAnsi="Wingdings" w:cs="Wingdings" w:hint="default"/>
      </w:rPr>
    </w:lvl>
    <w:lvl w:ilvl="1" w:tplc="0409000B">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 w15:restartNumberingAfterBreak="0">
    <w:nsid w:val="49CD14F1"/>
    <w:multiLevelType w:val="hybridMultilevel"/>
    <w:tmpl w:val="1D1065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D200AD9"/>
    <w:multiLevelType w:val="hybridMultilevel"/>
    <w:tmpl w:val="9D1A7E00"/>
    <w:lvl w:ilvl="0" w:tplc="04090001">
      <w:start w:val="1"/>
      <w:numFmt w:val="bullet"/>
      <w:lvlText w:val=""/>
      <w:lvlJc w:val="left"/>
      <w:pPr>
        <w:ind w:left="420" w:hanging="420"/>
      </w:pPr>
      <w:rPr>
        <w:rFonts w:ascii="Wingdings" w:hAnsi="Wingdings" w:cs="Wingdings" w:hint="default"/>
      </w:rPr>
    </w:lvl>
    <w:lvl w:ilvl="1" w:tplc="0409000B">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EF"/>
    <w:rsid w:val="00102400"/>
    <w:rsid w:val="002B7C72"/>
    <w:rsid w:val="002D13EF"/>
    <w:rsid w:val="00333244"/>
    <w:rsid w:val="00373AF3"/>
    <w:rsid w:val="004C44C0"/>
    <w:rsid w:val="00634792"/>
    <w:rsid w:val="006F0C76"/>
    <w:rsid w:val="00824E84"/>
    <w:rsid w:val="00881DF6"/>
    <w:rsid w:val="009C2E6F"/>
    <w:rsid w:val="00AB7C95"/>
    <w:rsid w:val="00DA6045"/>
    <w:rsid w:val="00F9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458037"/>
  <w15:chartTrackingRefBased/>
  <w15:docId w15:val="{D664CBC6-7177-4652-9E41-95DAEAC5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04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604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A6045"/>
    <w:rPr>
      <w:rFonts w:asciiTheme="majorHAnsi" w:eastAsiaTheme="majorEastAsia" w:hAnsiTheme="majorHAnsi" w:cstheme="majorBidi"/>
    </w:rPr>
  </w:style>
  <w:style w:type="character" w:customStyle="1" w:styleId="10">
    <w:name w:val="見出し 1 (文字)"/>
    <w:basedOn w:val="a0"/>
    <w:link w:val="1"/>
    <w:uiPriority w:val="9"/>
    <w:rsid w:val="00DA6045"/>
    <w:rPr>
      <w:rFonts w:asciiTheme="majorHAnsi" w:eastAsiaTheme="majorEastAsia" w:hAnsiTheme="majorHAnsi" w:cstheme="majorBidi"/>
      <w:sz w:val="24"/>
      <w:szCs w:val="24"/>
    </w:rPr>
  </w:style>
  <w:style w:type="paragraph" w:styleId="a3">
    <w:name w:val="List Paragraph"/>
    <w:basedOn w:val="a"/>
    <w:uiPriority w:val="34"/>
    <w:qFormat/>
    <w:rsid w:val="00DA6045"/>
    <w:pPr>
      <w:ind w:leftChars="400" w:left="840"/>
    </w:pPr>
  </w:style>
  <w:style w:type="character" w:styleId="a4">
    <w:name w:val="Hyperlink"/>
    <w:basedOn w:val="a0"/>
    <w:uiPriority w:val="99"/>
    <w:unhideWhenUsed/>
    <w:rsid w:val="00634792"/>
    <w:rPr>
      <w:color w:val="0000FF"/>
      <w:u w:val="single"/>
    </w:rPr>
  </w:style>
  <w:style w:type="character" w:styleId="a5">
    <w:name w:val="Unresolved Mention"/>
    <w:basedOn w:val="a0"/>
    <w:uiPriority w:val="99"/>
    <w:semiHidden/>
    <w:unhideWhenUsed/>
    <w:rsid w:val="00333244"/>
    <w:rPr>
      <w:color w:val="605E5C"/>
      <w:shd w:val="clear" w:color="auto" w:fill="E1DFDD"/>
    </w:rPr>
  </w:style>
  <w:style w:type="character" w:styleId="a6">
    <w:name w:val="Placeholder Text"/>
    <w:basedOn w:val="a0"/>
    <w:uiPriority w:val="99"/>
    <w:semiHidden/>
    <w:rsid w:val="001024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_2Yoq5AjU0" TargetMode="External"/><Relationship Id="rId5" Type="http://schemas.openxmlformats.org/officeDocument/2006/relationships/hyperlink" Target="https://ja.wikipedia.org/wiki/%E3%83%AD%E3%83%BC%E3%83%AC%E3%83%B3%E3%83%84%E6%9B%B2%E7%B7%9A"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140</Words>
  <Characters>799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祐作</dc:creator>
  <cp:keywords/>
  <dc:description/>
  <cp:lastModifiedBy>林 祐作</cp:lastModifiedBy>
  <cp:revision>6</cp:revision>
  <dcterms:created xsi:type="dcterms:W3CDTF">2020-04-19T08:47:00Z</dcterms:created>
  <dcterms:modified xsi:type="dcterms:W3CDTF">2020-04-22T14:15:00Z</dcterms:modified>
</cp:coreProperties>
</file>