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BFC2D" w14:textId="1054A49D" w:rsidR="00FB12A5" w:rsidRDefault="007379D2">
      <w:pPr>
        <w:pStyle w:val="Title"/>
        <w:spacing w:after="120"/>
        <w:jc w:val="center"/>
      </w:pPr>
      <w:r>
        <w:t>Theoretical Framework for Distinguishing Dark-Matter Dephasing Mechanisms in LISA Observations of Black-Hole Binaries</w:t>
      </w:r>
    </w:p>
    <w:p w14:paraId="22D62B4F" w14:textId="77777777" w:rsidR="00FB12A5" w:rsidRDefault="007379D2">
      <w:pPr>
        <w:spacing w:after="40"/>
        <w:jc w:val="center"/>
      </w:pPr>
      <w:r>
        <w:rPr>
          <w:sz w:val="24"/>
          <w:szCs w:val="24"/>
        </w:rPr>
        <w:t>Duong Ngoc Khoa &amp; Aaryan Chaulagain</w:t>
      </w:r>
    </w:p>
    <w:p w14:paraId="0D482AFA" w14:textId="77777777" w:rsidR="00FB12A5" w:rsidRDefault="007379D2">
      <w:pPr>
        <w:spacing w:after="40"/>
        <w:jc w:val="center"/>
      </w:pPr>
      <w:r>
        <w:rPr>
          <w:sz w:val="24"/>
          <w:szCs w:val="24"/>
        </w:rPr>
        <w:t>Prepared by Aaryan Chaulagain</w:t>
      </w:r>
    </w:p>
    <w:p w14:paraId="24A571EB" w14:textId="77777777" w:rsidR="00FB12A5" w:rsidRDefault="007379D2">
      <w:pPr>
        <w:spacing w:after="300"/>
        <w:jc w:val="center"/>
      </w:pPr>
      <w:r>
        <w:rPr>
          <w:i/>
          <w:iCs/>
        </w:rPr>
        <w:t>September 10, 2026</w:t>
      </w:r>
    </w:p>
    <w:p w14:paraId="7A100794" w14:textId="77777777" w:rsidR="00FB12A5" w:rsidRDefault="007379D2">
      <w:pPr>
        <w:pStyle w:val="Heading1"/>
        <w:spacing w:before="280" w:after="140"/>
      </w:pPr>
      <w:r>
        <w:t>Abstract</w:t>
      </w:r>
    </w:p>
    <w:p w14:paraId="53FFB658" w14:textId="77777777" w:rsidR="00FB12A5" w:rsidRDefault="007379D2">
      <w:pPr>
        <w:spacing w:after="160"/>
      </w:pPr>
      <w:r>
        <w:t>This report summarises the theoretical foundations underlying our project on the distinguishability of dark-matter (DM) environmental effects in gravitational-wave (GW) observations of black-hole binaries. Building on the self-interacting scalar-cloud fram</w:t>
      </w:r>
      <w:r>
        <w:t>ework of Boudon, Brax, Valageas &amp; Wong (2023), we review the vacuum general-relativity (GR) baseline, the four DM dephasing mechanisms considered in this project (cloud self-gravity, low- and high-frequency accretion, and dynamical friction), and the Fishe</w:t>
      </w:r>
      <w:r>
        <w:t>r-information formalism used to test whether a detected dephasing can be attributed to a specific mechanism rather than merely detected as a generic deviation from vacuum GR. A companion numerical pipeline, documented separately (dm_dephasing_full.py / dm_</w:t>
      </w:r>
      <w:r>
        <w:t>dephasing_colab.py), implements this framework for LISA and finds that the accretion and dynamical-friction channels are observationally degenerate (|rAB| ≈ 0.9999) across the accessible mass range. Here we focus on the theoretical basis for that result, t</w:t>
      </w:r>
      <w:r>
        <w:t>he assumptions it rests on, and directions for extending the framework beyond the two-mechanism, LISA-only case considered so far.</w:t>
      </w:r>
    </w:p>
    <w:p w14:paraId="1403384C" w14:textId="77777777" w:rsidR="00FB12A5" w:rsidRDefault="007379D2">
      <w:pPr>
        <w:pStyle w:val="Heading1"/>
        <w:spacing w:before="280" w:after="140"/>
      </w:pPr>
      <w:r>
        <w:t>1. Motivation</w:t>
      </w:r>
    </w:p>
    <w:p w14:paraId="5A93656B" w14:textId="77777777" w:rsidR="00FB12A5" w:rsidRDefault="007379D2">
      <w:pPr>
        <w:spacing w:after="160"/>
      </w:pPr>
      <w:r>
        <w:t>Compact-binary inspirals are clean laboratories for probing both dark matter and general relativity simultaneou</w:t>
      </w:r>
      <w:r>
        <w:t>sly. If a binary is embedded in a DM overdensity — a scalar or fuzzy soliton, a self-interacting cloud, an ultralight vector field, or a collisional particle-DM spike — the surrounding environment removes orbital energy through three channels: direct accre</w:t>
      </w:r>
      <w:r>
        <w:t xml:space="preserve">tion of environmental material onto the binary components, dynamical friction from the gravitational wake trailing each component, and the self-gravity of the DM distribution itself. Each channel imprints a small dephasing on the emitted waveform relative </w:t>
      </w:r>
      <w:r>
        <w:t>to the vacuum-GR prediction. Because these are negative post-Newtonian (PN) corrections, they grow most strongly in the early, low-frequency inspiral, where they are least degenerate with the positive-PN relativistic corrections — this is precisely what ma</w:t>
      </w:r>
      <w:r>
        <w:t>kes them observationally interesting.</w:t>
      </w:r>
    </w:p>
    <w:p w14:paraId="63A6A158" w14:textId="77777777" w:rsidR="00FB12A5" w:rsidRDefault="007379D2">
      <w:pPr>
        <w:spacing w:after="160"/>
      </w:pPr>
      <w:r>
        <w:t>Prior literature, including the foundational scalar-cloud paper this project builds on, has answered the forecasting question — can a GW detector such as LISA or DECIGO detect a given DM environment at all? — for sever</w:t>
      </w:r>
      <w:r>
        <w:t>al individual models, one model at a time. The gap this project targets sits one level above that question, and is explicitly flagged as future work in the source literature: given a measured dephasing, can one identify which DM mechanism produced it, or a</w:t>
      </w:r>
      <w:r>
        <w:t xml:space="preserve">re the candidate mechanisms </w:t>
      </w:r>
      <w:r>
        <w:lastRenderedPageBreak/>
        <w:t>mutually degenerate with each other and with shifts in the binary's intrinsic parameters (masses, coalescence time, phase)? This distinguishability question is analytically tractable, computationally inexpensive, and, to our kno</w:t>
      </w:r>
      <w:r>
        <w:t>wledge, has not been addressed jointly for two simultaneously active mechanisms in the way this project treats it.</w:t>
      </w:r>
    </w:p>
    <w:p w14:paraId="0A88A741" w14:textId="77777777" w:rsidR="00FB12A5" w:rsidRDefault="007379D2">
      <w:pPr>
        <w:pStyle w:val="Heading1"/>
        <w:spacing w:before="280" w:after="140"/>
      </w:pPr>
      <w:r>
        <w:t>2. Theoretical Framework</w:t>
      </w:r>
    </w:p>
    <w:p w14:paraId="37852CE0" w14:textId="77777777" w:rsidR="00FB12A5" w:rsidRDefault="007379D2">
      <w:pPr>
        <w:pStyle w:val="Heading2"/>
        <w:spacing w:before="200" w:after="100"/>
      </w:pPr>
      <w:r>
        <w:t>2.1 The vacuum baseline</w:t>
      </w:r>
    </w:p>
    <w:p w14:paraId="0B175310" w14:textId="77777777" w:rsidR="00FB12A5" w:rsidRDefault="007379D2">
      <w:pPr>
        <w:spacing w:after="160"/>
      </w:pPr>
      <w:r>
        <w:t>All calculations begin from the stationary-phase-approximation (SPA) frequency-domain wavefo</w:t>
      </w:r>
      <w:r>
        <w:t>rm, h̃(f) = A f^(-7/6) e^{iΨ(f)}, following the standard treatment of Cutler &amp; Flanagan (1994). The phase is expanded to 1PN order in the dimensionless frequency parameter x = πGMf/c³, where M is the chirp mass. The 1PN term is not optional: at leading (Ne</w:t>
      </w:r>
      <w:r>
        <w:t>wtonian) order the phase depends on the chirp mass alone, so the two component masses m1 and m2 are exactly degenerate; only the 1PN correction, which depends separately on the symmetric mass ratio ν, breaks this degeneracy and makes a Fisher analysis over</w:t>
      </w:r>
      <w:r>
        <w:t xml:space="preserve"> {ln m1, ln m2} well posed. Reproducing this vacuum phase and a standard binary signal-to-noise ratio for a fiducial system is the first validation milestone of the pipeline, and precedes any DM-related claim.</w:t>
      </w:r>
    </w:p>
    <w:p w14:paraId="18DA3D72" w14:textId="77777777" w:rsidR="00FB12A5" w:rsidRDefault="007379D2">
      <w:pPr>
        <w:pStyle w:val="Heading2"/>
        <w:spacing w:before="200" w:after="100"/>
      </w:pPr>
      <w:r>
        <w:t>2.2 Dark-matter phase corrections</w:t>
      </w:r>
    </w:p>
    <w:p w14:paraId="0773ED79" w14:textId="77777777" w:rsidR="00FB12A5" w:rsidRDefault="007379D2">
      <w:pPr>
        <w:spacing w:after="160"/>
      </w:pPr>
      <w:r>
        <w:t>Following Bo</w:t>
      </w:r>
      <w:r>
        <w:t>udon, Brax, Valageas &amp; Wong (2023), a binary embedded in a self-interacting scalar-field cloud acquires phase terms at four distinct effective PN orders, summarised in Table 1. Each mechanism scales as a different power of frequency (or the same power modu</w:t>
      </w:r>
      <w:r>
        <w:t>lated by a slowly varying bracket), which is the physical fingerprint that a distinguishability study is designed to exploit. All four terms are linear in their governing density parameter at fixed density ratio y = ρa/ρ0, a linearisation stated explicitly</w:t>
      </w:r>
      <w:r>
        <w:t xml:space="preserve"> in the source paper and one that considerably simplifies the Fisher derivatives used downstream, since ∂Ψ/∂ρ reduces to the phase template evaluated at unit density, with no finite-difference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1600"/>
        <w:gridCol w:w="1400"/>
        <w:gridCol w:w="1760"/>
      </w:tblGrid>
      <w:tr w:rsidR="00FB12A5" w14:paraId="185A9E67" w14:textId="77777777">
        <w:tblPrEx>
          <w:tblCellMar>
            <w:top w:w="0" w:type="dxa"/>
            <w:bottom w:w="0" w:type="dxa"/>
          </w:tblCellMar>
        </w:tblPrEx>
        <w:trPr>
          <w:tblHeader/>
        </w:trPr>
        <w:tc>
          <w:tcPr>
            <w:tcW w:w="1700" w:type="dxa"/>
            <w:shd w:val="clear" w:color="auto" w:fill="1F3864"/>
          </w:tcPr>
          <w:p w14:paraId="0569F122" w14:textId="77777777" w:rsidR="00FB12A5" w:rsidRDefault="007379D2">
            <w:pPr>
              <w:jc w:val="center"/>
            </w:pPr>
            <w:r>
              <w:rPr>
                <w:b/>
                <w:bCs/>
                <w:color w:val="FFFFFF"/>
                <w:sz w:val="20"/>
                <w:szCs w:val="20"/>
              </w:rPr>
              <w:t>Mechanism</w:t>
            </w:r>
          </w:p>
        </w:tc>
        <w:tc>
          <w:tcPr>
            <w:tcW w:w="2900" w:type="dxa"/>
            <w:shd w:val="clear" w:color="auto" w:fill="1F3864"/>
          </w:tcPr>
          <w:p w14:paraId="4C546557" w14:textId="77777777" w:rsidR="00FB12A5" w:rsidRDefault="007379D2">
            <w:pPr>
              <w:jc w:val="center"/>
            </w:pPr>
            <w:r>
              <w:rPr>
                <w:b/>
                <w:bCs/>
                <w:color w:val="FFFFFF"/>
                <w:sz w:val="20"/>
                <w:szCs w:val="20"/>
              </w:rPr>
              <w:t>Physical Origin</w:t>
            </w:r>
          </w:p>
        </w:tc>
        <w:tc>
          <w:tcPr>
            <w:tcW w:w="1600" w:type="dxa"/>
            <w:shd w:val="clear" w:color="auto" w:fill="1F3864"/>
          </w:tcPr>
          <w:p w14:paraId="5CC09917" w14:textId="77777777" w:rsidR="00FB12A5" w:rsidRDefault="007379D2">
            <w:pPr>
              <w:jc w:val="center"/>
            </w:pPr>
            <w:r>
              <w:rPr>
                <w:b/>
                <w:bCs/>
                <w:color w:val="FFFFFF"/>
                <w:sz w:val="20"/>
                <w:szCs w:val="20"/>
              </w:rPr>
              <w:t>Frequency Scaling</w:t>
            </w:r>
          </w:p>
        </w:tc>
        <w:tc>
          <w:tcPr>
            <w:tcW w:w="1400" w:type="dxa"/>
            <w:shd w:val="clear" w:color="auto" w:fill="1F3864"/>
          </w:tcPr>
          <w:p w14:paraId="63BDE311" w14:textId="77777777" w:rsidR="00FB12A5" w:rsidRDefault="007379D2">
            <w:pPr>
              <w:jc w:val="center"/>
            </w:pPr>
            <w:r>
              <w:rPr>
                <w:b/>
                <w:bCs/>
                <w:color w:val="FFFFFF"/>
                <w:sz w:val="20"/>
                <w:szCs w:val="20"/>
              </w:rPr>
              <w:t>Eff. PN Orde</w:t>
            </w:r>
            <w:r>
              <w:rPr>
                <w:b/>
                <w:bCs/>
                <w:color w:val="FFFFFF"/>
                <w:sz w:val="20"/>
                <w:szCs w:val="20"/>
              </w:rPr>
              <w:t>r</w:t>
            </w:r>
          </w:p>
        </w:tc>
        <w:tc>
          <w:tcPr>
            <w:tcW w:w="1760" w:type="dxa"/>
            <w:shd w:val="clear" w:color="auto" w:fill="1F3864"/>
          </w:tcPr>
          <w:p w14:paraId="06BCE99B" w14:textId="77777777" w:rsidR="00FB12A5" w:rsidRDefault="007379D2">
            <w:pPr>
              <w:jc w:val="center"/>
            </w:pPr>
            <w:r>
              <w:rPr>
                <w:b/>
                <w:bCs/>
                <w:color w:val="FFFFFF"/>
                <w:sz w:val="20"/>
                <w:szCs w:val="20"/>
              </w:rPr>
              <w:t>Governing Parameter</w:t>
            </w:r>
          </w:p>
        </w:tc>
      </w:tr>
      <w:tr w:rsidR="00FB12A5" w14:paraId="17F1C58F" w14:textId="77777777">
        <w:tblPrEx>
          <w:tblCellMar>
            <w:top w:w="0" w:type="dxa"/>
            <w:bottom w:w="0" w:type="dxa"/>
          </w:tblCellMar>
        </w:tblPrEx>
        <w:tc>
          <w:tcPr>
            <w:tcW w:w="1700" w:type="dxa"/>
          </w:tcPr>
          <w:p w14:paraId="677B86A5" w14:textId="77777777" w:rsidR="00FB12A5" w:rsidRDefault="007379D2">
            <w:r>
              <w:rPr>
                <w:color w:val="000000"/>
                <w:sz w:val="20"/>
                <w:szCs w:val="20"/>
              </w:rPr>
              <w:t>Cloud self-gravity</w:t>
            </w:r>
          </w:p>
        </w:tc>
        <w:tc>
          <w:tcPr>
            <w:tcW w:w="2900" w:type="dxa"/>
          </w:tcPr>
          <w:p w14:paraId="08E94EBF" w14:textId="77777777" w:rsidR="00FB12A5" w:rsidRDefault="007379D2">
            <w:r>
              <w:rPr>
                <w:color w:val="000000"/>
                <w:sz w:val="20"/>
                <w:szCs w:val="20"/>
              </w:rPr>
              <w:t>Gravitational pull of the scalar-cloud halo on the binary</w:t>
            </w:r>
          </w:p>
        </w:tc>
        <w:tc>
          <w:tcPr>
            <w:tcW w:w="1600" w:type="dxa"/>
          </w:tcPr>
          <w:p w14:paraId="797EB0F4" w14:textId="77777777" w:rsidR="00FB12A5" w:rsidRDefault="007379D2">
            <w:pPr>
              <w:jc w:val="center"/>
            </w:pPr>
            <w:r>
              <w:rPr>
                <w:color w:val="000000"/>
                <w:sz w:val="20"/>
                <w:szCs w:val="20"/>
              </w:rPr>
              <w:t>x^(-11/3)</w:t>
            </w:r>
          </w:p>
        </w:tc>
        <w:tc>
          <w:tcPr>
            <w:tcW w:w="1400" w:type="dxa"/>
          </w:tcPr>
          <w:p w14:paraId="0C5769FE" w14:textId="77777777" w:rsidR="00FB12A5" w:rsidRDefault="007379D2">
            <w:pPr>
              <w:jc w:val="center"/>
            </w:pPr>
            <w:r>
              <w:rPr>
                <w:color w:val="000000"/>
                <w:sz w:val="20"/>
                <w:szCs w:val="20"/>
              </w:rPr>
              <w:t>-3 PN</w:t>
            </w:r>
          </w:p>
        </w:tc>
        <w:tc>
          <w:tcPr>
            <w:tcW w:w="1760" w:type="dxa"/>
          </w:tcPr>
          <w:p w14:paraId="1089F7BD" w14:textId="77777777" w:rsidR="00FB12A5" w:rsidRDefault="007379D2">
            <w:pPr>
              <w:jc w:val="center"/>
            </w:pPr>
            <w:r>
              <w:rPr>
                <w:color w:val="000000"/>
                <w:sz w:val="20"/>
                <w:szCs w:val="20"/>
              </w:rPr>
              <w:t>Bulk density ρ0</w:t>
            </w:r>
          </w:p>
        </w:tc>
      </w:tr>
      <w:tr w:rsidR="00FB12A5" w14:paraId="08529DDB" w14:textId="77777777">
        <w:tblPrEx>
          <w:tblCellMar>
            <w:top w:w="0" w:type="dxa"/>
            <w:bottom w:w="0" w:type="dxa"/>
          </w:tblCellMar>
        </w:tblPrEx>
        <w:tc>
          <w:tcPr>
            <w:tcW w:w="1700" w:type="dxa"/>
          </w:tcPr>
          <w:p w14:paraId="3134C5C2" w14:textId="77777777" w:rsidR="00FB12A5" w:rsidRDefault="007379D2">
            <w:r>
              <w:rPr>
                <w:color w:val="000000"/>
                <w:sz w:val="20"/>
                <w:szCs w:val="20"/>
              </w:rPr>
              <w:t>Accretion (low-f)</w:t>
            </w:r>
          </w:p>
        </w:tc>
        <w:tc>
          <w:tcPr>
            <w:tcW w:w="2900" w:type="dxa"/>
          </w:tcPr>
          <w:p w14:paraId="50936FE7" w14:textId="77777777" w:rsidR="00FB12A5" w:rsidRDefault="007379D2">
            <w:r>
              <w:rPr>
                <w:color w:val="000000"/>
                <w:sz w:val="20"/>
                <w:szCs w:val="20"/>
              </w:rPr>
              <w:t>Sub-sonic/transonic accretion of cloud material, characteristic density regime</w:t>
            </w:r>
          </w:p>
        </w:tc>
        <w:tc>
          <w:tcPr>
            <w:tcW w:w="1600" w:type="dxa"/>
          </w:tcPr>
          <w:p w14:paraId="4338D53F" w14:textId="77777777" w:rsidR="00FB12A5" w:rsidRDefault="007379D2">
            <w:pPr>
              <w:jc w:val="center"/>
            </w:pPr>
            <w:r>
              <w:rPr>
                <w:color w:val="000000"/>
                <w:sz w:val="20"/>
                <w:szCs w:val="20"/>
              </w:rPr>
              <w:t>x^(-13/3)</w:t>
            </w:r>
          </w:p>
        </w:tc>
        <w:tc>
          <w:tcPr>
            <w:tcW w:w="1400" w:type="dxa"/>
          </w:tcPr>
          <w:p w14:paraId="7659B40A" w14:textId="77777777" w:rsidR="00FB12A5" w:rsidRDefault="007379D2">
            <w:pPr>
              <w:jc w:val="center"/>
            </w:pPr>
            <w:r>
              <w:rPr>
                <w:color w:val="000000"/>
                <w:sz w:val="20"/>
                <w:szCs w:val="20"/>
              </w:rPr>
              <w:t>-4 PN</w:t>
            </w:r>
          </w:p>
        </w:tc>
        <w:tc>
          <w:tcPr>
            <w:tcW w:w="1760" w:type="dxa"/>
          </w:tcPr>
          <w:p w14:paraId="6A5CE1E2" w14:textId="77777777" w:rsidR="00FB12A5" w:rsidRDefault="007379D2">
            <w:pPr>
              <w:jc w:val="center"/>
            </w:pPr>
            <w:r>
              <w:rPr>
                <w:color w:val="000000"/>
                <w:sz w:val="20"/>
                <w:szCs w:val="20"/>
              </w:rPr>
              <w:t>Characteristic density ρa</w:t>
            </w:r>
          </w:p>
        </w:tc>
      </w:tr>
      <w:tr w:rsidR="00FB12A5" w14:paraId="4A5B181D" w14:textId="77777777">
        <w:tblPrEx>
          <w:tblCellMar>
            <w:top w:w="0" w:type="dxa"/>
            <w:bottom w:w="0" w:type="dxa"/>
          </w:tblCellMar>
        </w:tblPrEx>
        <w:tc>
          <w:tcPr>
            <w:tcW w:w="1700" w:type="dxa"/>
          </w:tcPr>
          <w:p w14:paraId="647E8C9C" w14:textId="77777777" w:rsidR="00FB12A5" w:rsidRDefault="007379D2">
            <w:r>
              <w:rPr>
                <w:color w:val="000000"/>
                <w:sz w:val="20"/>
                <w:szCs w:val="20"/>
              </w:rPr>
              <w:t>Accretion (high-f)</w:t>
            </w:r>
          </w:p>
        </w:tc>
        <w:tc>
          <w:tcPr>
            <w:tcW w:w="2900" w:type="dxa"/>
          </w:tcPr>
          <w:p w14:paraId="65E52366" w14:textId="77777777" w:rsidR="00FB12A5" w:rsidRDefault="007379D2">
            <w:r>
              <w:rPr>
                <w:color w:val="000000"/>
                <w:sz w:val="20"/>
                <w:szCs w:val="20"/>
              </w:rPr>
              <w:t>Velocity-regulated (supersonic) accretion onto each black hole</w:t>
            </w:r>
          </w:p>
        </w:tc>
        <w:tc>
          <w:tcPr>
            <w:tcW w:w="1600" w:type="dxa"/>
          </w:tcPr>
          <w:p w14:paraId="228BDB05" w14:textId="77777777" w:rsidR="00FB12A5" w:rsidRDefault="007379D2">
            <w:pPr>
              <w:jc w:val="center"/>
            </w:pPr>
            <w:r>
              <w:rPr>
                <w:color w:val="000000"/>
                <w:sz w:val="20"/>
                <w:szCs w:val="20"/>
              </w:rPr>
              <w:t>x^(-16/3)</w:t>
            </w:r>
          </w:p>
        </w:tc>
        <w:tc>
          <w:tcPr>
            <w:tcW w:w="1400" w:type="dxa"/>
          </w:tcPr>
          <w:p w14:paraId="6A5E15EC" w14:textId="77777777" w:rsidR="00FB12A5" w:rsidRDefault="007379D2">
            <w:pPr>
              <w:jc w:val="center"/>
            </w:pPr>
            <w:r>
              <w:rPr>
                <w:color w:val="000000"/>
                <w:sz w:val="20"/>
                <w:szCs w:val="20"/>
              </w:rPr>
              <w:t>-5.5 PN</w:t>
            </w:r>
          </w:p>
        </w:tc>
        <w:tc>
          <w:tcPr>
            <w:tcW w:w="1760" w:type="dxa"/>
          </w:tcPr>
          <w:p w14:paraId="367BE709" w14:textId="77777777" w:rsidR="00FB12A5" w:rsidRDefault="007379D2">
            <w:pPr>
              <w:jc w:val="center"/>
            </w:pPr>
            <w:r>
              <w:rPr>
                <w:color w:val="000000"/>
                <w:sz w:val="20"/>
                <w:szCs w:val="20"/>
              </w:rPr>
              <w:t>Bulk density ρ0</w:t>
            </w:r>
          </w:p>
        </w:tc>
      </w:tr>
      <w:tr w:rsidR="00FB12A5" w14:paraId="753FAC9F" w14:textId="77777777">
        <w:tblPrEx>
          <w:tblCellMar>
            <w:top w:w="0" w:type="dxa"/>
            <w:bottom w:w="0" w:type="dxa"/>
          </w:tblCellMar>
        </w:tblPrEx>
        <w:tc>
          <w:tcPr>
            <w:tcW w:w="1700" w:type="dxa"/>
          </w:tcPr>
          <w:p w14:paraId="23B8F431" w14:textId="77777777" w:rsidR="00FB12A5" w:rsidRDefault="007379D2">
            <w:r>
              <w:rPr>
                <w:color w:val="000000"/>
                <w:sz w:val="20"/>
                <w:szCs w:val="20"/>
              </w:rPr>
              <w:t>Dynamical friction</w:t>
            </w:r>
          </w:p>
        </w:tc>
        <w:tc>
          <w:tcPr>
            <w:tcW w:w="2900" w:type="dxa"/>
          </w:tcPr>
          <w:p w14:paraId="097CC59C" w14:textId="77777777" w:rsidR="00FB12A5" w:rsidRDefault="007379D2">
            <w:r>
              <w:rPr>
                <w:color w:val="000000"/>
                <w:sz w:val="20"/>
                <w:szCs w:val="20"/>
              </w:rPr>
              <w:t>Gravitational drag from the cloud wake behind the smaller black hole</w:t>
            </w:r>
          </w:p>
        </w:tc>
        <w:tc>
          <w:tcPr>
            <w:tcW w:w="1600" w:type="dxa"/>
          </w:tcPr>
          <w:p w14:paraId="12B5A1EE" w14:textId="77777777" w:rsidR="00FB12A5" w:rsidRDefault="007379D2">
            <w:pPr>
              <w:jc w:val="center"/>
            </w:pPr>
            <w:r>
              <w:rPr>
                <w:color w:val="000000"/>
                <w:sz w:val="20"/>
                <w:szCs w:val="20"/>
              </w:rPr>
              <w:t>x^(-16/3) × [1 + Coulomb-log bracket]</w:t>
            </w:r>
          </w:p>
        </w:tc>
        <w:tc>
          <w:tcPr>
            <w:tcW w:w="1400" w:type="dxa"/>
          </w:tcPr>
          <w:p w14:paraId="5D11DA09" w14:textId="77777777" w:rsidR="00FB12A5" w:rsidRDefault="007379D2">
            <w:pPr>
              <w:jc w:val="center"/>
            </w:pPr>
            <w:r>
              <w:rPr>
                <w:color w:val="000000"/>
                <w:sz w:val="20"/>
                <w:szCs w:val="20"/>
              </w:rPr>
              <w:t>-5.5 PN</w:t>
            </w:r>
          </w:p>
        </w:tc>
        <w:tc>
          <w:tcPr>
            <w:tcW w:w="1760" w:type="dxa"/>
          </w:tcPr>
          <w:p w14:paraId="10E67C6A" w14:textId="77777777" w:rsidR="00FB12A5" w:rsidRDefault="007379D2">
            <w:pPr>
              <w:jc w:val="center"/>
            </w:pPr>
            <w:r>
              <w:rPr>
                <w:color w:val="000000"/>
                <w:sz w:val="20"/>
                <w:szCs w:val="20"/>
              </w:rPr>
              <w:t>Bulk density ρ0</w:t>
            </w:r>
          </w:p>
        </w:tc>
      </w:tr>
    </w:tbl>
    <w:p w14:paraId="26CE3FDB" w14:textId="77777777" w:rsidR="00FB12A5" w:rsidRDefault="00FB12A5">
      <w:pPr>
        <w:spacing w:after="160"/>
      </w:pPr>
    </w:p>
    <w:p w14:paraId="51748435" w14:textId="77777777" w:rsidR="00FB12A5" w:rsidRDefault="007379D2">
      <w:pPr>
        <w:spacing w:after="160"/>
      </w:pPr>
      <w:r>
        <w:t>Two features of Table 1 are central to the project's central finding. First, high-frequency accretion and dynamical friction share the identical x^(-16/3) carrier — both are formally −5.5PN effects — and differ only through a Coulomb-logarithm bracket in t</w:t>
      </w:r>
      <w:r>
        <w:t xml:space="preserve">he friction term that varies slowly across the observing band. Second, the regime boundaries between these branches (the accretion threshold facc,i and the dynamical-friction window bounded by f−df and f+df) are themselves frequency-dependent functions of </w:t>
      </w:r>
      <w:r>
        <w:lastRenderedPageBreak/>
        <w:t>the density ratio y, so the fiducial choice of y determines how much of the observing band each mechanism's characteristic shape is actually sampled over.</w:t>
      </w:r>
    </w:p>
    <w:p w14:paraId="7E00C250" w14:textId="77777777" w:rsidR="00FB12A5" w:rsidRDefault="007379D2">
      <w:pPr>
        <w:pStyle w:val="Heading2"/>
        <w:spacing w:before="200" w:after="100"/>
      </w:pPr>
      <w:r>
        <w:t>2.3 The degeneracy question</w:t>
      </w:r>
    </w:p>
    <w:p w14:paraId="7E2B67D3" w14:textId="77777777" w:rsidR="00FB12A5" w:rsidRDefault="007379D2">
      <w:pPr>
        <w:spacing w:after="160"/>
      </w:pPr>
      <w:r>
        <w:t>We state the inverse problem formally: two DM mechanisms with frequency s</w:t>
      </w:r>
      <w:r>
        <w:t>lopes n1 ≠ n2 are in principle separable from a single waveform, since they contribute functionally distinct terms to the phase. Whether they are separable in practice depends on (i) the width of the observing band in log-frequency, (ii) the signal-to-nois</w:t>
      </w:r>
      <w:r>
        <w:t xml:space="preserve">e ratio, and (iii) the degree to which each mechanism's shape correlates with the binary's intrinsic parameters once those are also allowed to vary. The natural diagnostic is the Fisher correlation coefficient, rij = Σij / √(Σii Σjj), where Σ = Γ⁻¹ is the </w:t>
      </w:r>
      <w:r>
        <w:t>parameter covariance matrix. We adopt the common convention that |r| &gt; 0.9 signals a practically degenerate pair, while noting that the attribution penalty on the marginalised uncertainty scales as (1 − r²)⁻¹/², so even values apparently short of unity (e.</w:t>
      </w:r>
      <w:r>
        <w:t>g. r = 0.995) already imply an order-of-magnitude loss of constraining power.</w:t>
      </w:r>
    </w:p>
    <w:p w14:paraId="623B1817" w14:textId="77777777" w:rsidR="00FB12A5" w:rsidRDefault="007379D2">
      <w:pPr>
        <w:pStyle w:val="Heading1"/>
        <w:spacing w:before="280" w:after="140"/>
      </w:pPr>
      <w:r>
        <w:t>3. Methodology</w:t>
      </w:r>
    </w:p>
    <w:p w14:paraId="10180FBD" w14:textId="77777777" w:rsidR="00FB12A5" w:rsidRDefault="007379D2">
      <w:pPr>
        <w:pStyle w:val="Heading2"/>
        <w:spacing w:before="200" w:after="100"/>
      </w:pPr>
      <w:r>
        <w:t>3.1 Fisher-information formalism</w:t>
      </w:r>
    </w:p>
    <w:p w14:paraId="06206FEC" w14:textId="77777777" w:rsidR="00FB12A5" w:rsidRDefault="007379D2">
      <w:pPr>
        <w:spacing w:after="160"/>
      </w:pPr>
      <w:r>
        <w:t>For a waveform with amplitude decorrelated from phase, the general Fisher matrix Γij = 4 Re ∫ df/Sn(f) ∂ih̃* ∂jh̃ reduces to the S</w:t>
      </w:r>
      <w:r>
        <w:t xml:space="preserve">NR-normalised, phase-only form Γij = SNR² </w:t>
      </w:r>
      <w:r>
        <w:t>⟨</w:t>
      </w:r>
      <w:r>
        <w:t>∂Ψ/∂θi ∂Ψ/∂θj</w:t>
      </w:r>
      <w:r>
        <w:t>⟩</w:t>
      </w:r>
      <w:r>
        <w:t xml:space="preserve">, where the weighted average </w:t>
      </w:r>
      <w:r>
        <w:t>⟨</w:t>
      </w:r>
      <w:r>
        <w:t>·</w:t>
      </w:r>
      <w:r>
        <w:t>⟩</w:t>
      </w:r>
      <w:r>
        <w:t xml:space="preserve"> uses the kernel f^(−77/3)/Sn(f) integrated over the observing band. This is the phase-only Fisher form of Boudon et al. (their Eq. 5.3), itself a special case of the </w:t>
      </w:r>
      <w:r>
        <w:t>general Cutler &amp; Flanagan formalism. We adopt this reduction throughout because it isolates the shape information that actually drives distinguishability, independent of the overall loudness of the signal.</w:t>
      </w:r>
    </w:p>
    <w:p w14:paraId="2572754C" w14:textId="77777777" w:rsidR="00FB12A5" w:rsidRDefault="007379D2">
      <w:pPr>
        <w:pStyle w:val="Heading2"/>
        <w:spacing w:before="200" w:after="100"/>
      </w:pPr>
      <w:r>
        <w:t>3.2 Parameter vector</w:t>
      </w:r>
    </w:p>
    <w:p w14:paraId="330A9FCE" w14:textId="77777777" w:rsidR="00FB12A5" w:rsidRDefault="007379D2">
      <w:pPr>
        <w:spacing w:after="160"/>
      </w:pPr>
      <w:r>
        <w:t xml:space="preserve">The core parameter vector is </w:t>
      </w:r>
      <w:r>
        <w:t>θ = {tc, Φc, ln m1, ln m2, ρA, ρB}, where ρA and ρB are the amplitudes of two DM mechanisms considered simultaneously. Including both amplitudes at once, rather than analysing each mechanism against a DM-free vacuum template, is what converts the calculati</w:t>
      </w:r>
      <w:r>
        <w:t xml:space="preserve">on from two independent detectability forecasts into a genuine degeneracy study: the off-diagonal element ΣρAρB of the resulting joint covariance, and the corresponding correlation rAB, only exist once both mechanisms are treated as simultaneously present </w:t>
      </w:r>
      <w:r>
        <w:t>unknowns.</w:t>
      </w:r>
    </w:p>
    <w:p w14:paraId="39A16858" w14:textId="77777777" w:rsidR="00FB12A5" w:rsidRDefault="007379D2">
      <w:pPr>
        <w:pStyle w:val="Heading2"/>
        <w:spacing w:before="200" w:after="100"/>
      </w:pPr>
      <w:r>
        <w:t>3.3 Detector noise model</w:t>
      </w:r>
    </w:p>
    <w:p w14:paraId="002CCEE4" w14:textId="77777777" w:rsidR="00FB12A5" w:rsidRDefault="007379D2">
      <w:pPr>
        <w:spacing w:after="160"/>
      </w:pPr>
      <w:r>
        <w:t>The detector sensitivity is the full analytic LISA model of Robson, Cornish &amp; Liu (2019), combining single-link optical-metrology noise, single test-mass acceleration noise, and the 4-year galactic-confusion foreground fit, consistent with the 4-year obser</w:t>
      </w:r>
      <w:r>
        <w:t>ving time adopted for the fiducial systems. Every noise-model ingredient is validated against the published sensitivity curve before use (Section 4).</w:t>
      </w:r>
    </w:p>
    <w:p w14:paraId="5209A8EA" w14:textId="77777777" w:rsidR="00FB12A5" w:rsidRDefault="007379D2">
      <w:pPr>
        <w:pStyle w:val="Heading2"/>
        <w:spacing w:before="200" w:after="100"/>
      </w:pPr>
      <w:r>
        <w:t>3.4 Fiducial systems</w:t>
      </w:r>
    </w:p>
    <w:p w14:paraId="57A1F9AA" w14:textId="77777777" w:rsidR="00FB12A5" w:rsidRDefault="007379D2">
      <w:pPr>
        <w:spacing w:after="160"/>
      </w:pPr>
      <w:r>
        <w:t>Benchmark binaries follow the LISA event classes analysed in the source literature: a</w:t>
      </w:r>
      <w:r>
        <w:t>n intermediate-mass-ratio inspiral (IMRI, 10⁴ + 10 M☉, SNR 64) and an extreme-mass-ratio inspiral (EMRI, 10⁵ + 10 M☉, SNR 22), both of which retain an active dynamical-friction window over the observing band. A comparable-mass massive-black-hole binary (MB</w:t>
      </w:r>
      <w:r>
        <w:t>BH, 10⁶ + 5×10⁵ M☉) is retained only for noise-model and threshold validation, since dynamical friction switches off for mass ratios where the symmetric mass ratio ν exceeds 0.16.</w:t>
      </w:r>
    </w:p>
    <w:p w14:paraId="7BF3E31E" w14:textId="77777777" w:rsidR="00FB12A5" w:rsidRDefault="007379D2">
      <w:pPr>
        <w:pStyle w:val="Heading2"/>
        <w:spacing w:before="200" w:after="100"/>
      </w:pPr>
      <w:r>
        <w:lastRenderedPageBreak/>
        <w:t>3.5 Numerical implementation</w:t>
      </w:r>
    </w:p>
    <w:p w14:paraId="565CF979" w14:textId="77777777" w:rsidR="00FB12A5" w:rsidRDefault="007379D2">
      <w:pPr>
        <w:spacing w:after="160"/>
      </w:pPr>
      <w:r>
        <w:t>Mass derivatives of the vacuum phase are comput</w:t>
      </w:r>
      <w:r>
        <w:t>ed by central finite differences with a relative step of 10⁻⁶; DM-amplitude derivatives are exact, since the DM phase terms are linear in their density parameters. Frequency integrals are evaluated on a 6000-point logarithmic grid by trapezoidal quadrature</w:t>
      </w:r>
      <w:r>
        <w:t>. Because the resulting Fisher matrices mix parameters spanning many orders of magnitude (coalescence time in seconds versus density in g cm⁻³ with expected uncertainties near 10⁻²²), matrix inversion is preconditioned by normalising to a unit-diagonal cor</w:t>
      </w:r>
      <w:r>
        <w:t>relation matrix before inversion, and the condition number of that normalised matrix is reported for every run as a diagnostic of numerical trustworthiness.</w:t>
      </w:r>
    </w:p>
    <w:p w14:paraId="47DB6F4C" w14:textId="77777777" w:rsidR="00FB12A5" w:rsidRDefault="007379D2">
      <w:pPr>
        <w:pStyle w:val="Heading1"/>
        <w:spacing w:before="280" w:after="140"/>
      </w:pPr>
      <w:r>
        <w:t>4. Validation</w:t>
      </w:r>
    </w:p>
    <w:p w14:paraId="4849965E" w14:textId="77777777" w:rsidR="00FB12A5" w:rsidRDefault="007379D2">
      <w:pPr>
        <w:spacing w:after="160"/>
      </w:pPr>
      <w:r>
        <w:t>Before any distinguishability claim is trusted, four checks are performed: (1) the va</w:t>
      </w:r>
      <w:r>
        <w:t>cuum phase reproduces the expected leading x^(−5/3) chirp-mass scaling, with the 1PN correction entering at the expected relative size; (2) the noise model reproduces the published LISA sensitivity floor, √Sn ≈ 1.2×10⁻²⁰ Hz⁻¹</w:t>
      </w:r>
      <w:r>
        <w:t>ᐟ</w:t>
      </w:r>
      <w:r>
        <w:t>² near 7 mHz; (3) each DM phas</w:t>
      </w:r>
      <w:r>
        <w:t>e term vanishes as the corresponding density → 0; and (4) the single-mechanism detection threshold for the MBBH benchmark agrees with the published Table IV value of Boudon et al. at the expected order of magnitude, with the residual factor fully attributa</w:t>
      </w:r>
      <w:r>
        <w:t>ble to the differing low-frequency band edge between noise models (since the threshold scales as f_min^(16/3)). A further internal consistency check verifies the exact two-parameter Fisher identity σjoint/σsingle = (1 − r²AB)⁻¹/² against independently comp</w:t>
      </w:r>
      <w:r>
        <w:t>uted matrix elements, finding agreement to three significant figures.</w:t>
      </w:r>
    </w:p>
    <w:p w14:paraId="4A1A733B" w14:textId="77777777" w:rsidR="00FB12A5" w:rsidRDefault="007379D2">
      <w:pPr>
        <w:pStyle w:val="Heading1"/>
        <w:spacing w:before="280" w:after="140"/>
      </w:pPr>
      <w:r>
        <w:t>5. Preliminary Results in Brief</w:t>
      </w:r>
    </w:p>
    <w:p w14:paraId="73C38B87" w14:textId="77777777" w:rsidR="00FB12A5" w:rsidRDefault="007379D2">
      <w:pPr>
        <w:spacing w:after="160"/>
      </w:pPr>
      <w:r>
        <w:t>Applying this framework jointly to the accretion and dynamical-friction channels, the companion numerical pipeline finds a correlation coefficient rAB ≈ −</w:t>
      </w:r>
      <w:r>
        <w:t>0.9999 for both the IMRI and EMRI benchmarks, stable to within a factor of a few across three decades of primary mass and three decades of dynamical-friction threshold placement. The corresponding attribution penalty, (1 − r²AB)⁻¹/², lies in the range ×60–</w:t>
      </w:r>
      <w:r>
        <w:t>130 at the fiducial configuration. The theoretical explanation traces directly to Section 2.2: accretion and dynamical friction share the same −5.5PN carrier, and the Fisher integrand's weighting toward the low-frequency edge of the band leaves only a mode</w:t>
      </w:r>
      <w:r>
        <w:t>st, smoothly varying Coulomb-logarithm residual to separate the two shapes. Full numerical detail, including robustness sweeps and the four-mechanism correlation matrix, is presented in the accompanying results report.</w:t>
      </w:r>
    </w:p>
    <w:p w14:paraId="2FCCA5DE" w14:textId="77777777" w:rsidR="00FB12A5" w:rsidRDefault="007379D2">
      <w:pPr>
        <w:pStyle w:val="Heading1"/>
        <w:spacing w:before="280" w:after="140"/>
      </w:pPr>
      <w:r>
        <w:t>6. Further Expansion</w:t>
      </w:r>
    </w:p>
    <w:p w14:paraId="5903F7CF" w14:textId="77777777" w:rsidR="00FB12A5" w:rsidRDefault="007379D2">
      <w:pPr>
        <w:spacing w:after="160"/>
      </w:pPr>
      <w:r>
        <w:t>The framework as</w:t>
      </w:r>
      <w:r>
        <w:t xml:space="preserve"> implemented so far is deliberately narrow — two mechanisms, one DM model, one detector — in order to establish the method cleanly. Several extensions follow naturally and are planned or under consideration:</w:t>
      </w:r>
    </w:p>
    <w:p w14:paraId="0846A8F4" w14:textId="77777777" w:rsidR="00FB12A5" w:rsidRDefault="007379D2">
      <w:pPr>
        <w:pStyle w:val="ListParagraph"/>
        <w:numPr>
          <w:ilvl w:val="0"/>
          <w:numId w:val="1"/>
        </w:numPr>
        <w:spacing w:after="80"/>
      </w:pPr>
      <w:r>
        <w:t>Additional DM candidates. Extending the phase mo</w:t>
      </w:r>
      <w:r>
        <w:t>del to the ultralight-vector dark-matter environment and to relativistic treatments of dynamical friction from scalar dark matter would introduce mechanisms with genuinely different frequency slopes, testing whether cross-model degeneracy is as severe as t</w:t>
      </w:r>
      <w:r>
        <w:t>he intra-model (accretion-vs-friction) degeneracy found so far.</w:t>
      </w:r>
    </w:p>
    <w:p w14:paraId="19CC4992" w14:textId="77777777" w:rsidR="00FB12A5" w:rsidRDefault="007379D2">
      <w:pPr>
        <w:pStyle w:val="ListParagraph"/>
        <w:numPr>
          <w:ilvl w:val="0"/>
          <w:numId w:val="1"/>
        </w:numPr>
        <w:spacing w:after="80"/>
      </w:pPr>
      <w:r>
        <w:lastRenderedPageBreak/>
        <w:t>Particle-DM spikes. Including a collisional particle-DM spike model (in the spirit of Eda et al. and Kavanagh et al.) would add a mechanism with a distinct physical origin and PN scaling, broa</w:t>
      </w:r>
      <w:r>
        <w:t>dening the degeneracy map beyond wave-like DM.</w:t>
      </w:r>
    </w:p>
    <w:p w14:paraId="4D2F30F8" w14:textId="77777777" w:rsidR="00FB12A5" w:rsidRDefault="007379D2">
      <w:pPr>
        <w:pStyle w:val="ListParagraph"/>
        <w:numPr>
          <w:ilvl w:val="0"/>
          <w:numId w:val="1"/>
        </w:numPr>
        <w:spacing w:after="80"/>
      </w:pPr>
      <w:r>
        <w:t>Multi-detector and multi-band analysis. Repeating the Fisher analysis for DECIGO, the Einstein Telescope, and Advanced LIGO, and combining bands, would test whether extending the frequency lever arm beyond a s</w:t>
      </w:r>
      <w:r>
        <w:t>ingle decade — identified in this project as the key limiting factor — meaningfully improves attribution.</w:t>
      </w:r>
    </w:p>
    <w:p w14:paraId="26766626" w14:textId="77777777" w:rsidR="00FB12A5" w:rsidRDefault="007379D2">
      <w:pPr>
        <w:pStyle w:val="ListParagraph"/>
        <w:numPr>
          <w:ilvl w:val="0"/>
          <w:numId w:val="1"/>
        </w:numPr>
        <w:spacing w:after="80"/>
      </w:pPr>
      <w:r>
        <w:t xml:space="preserve">Priors and population-level statistics. Incorporating informative priors on the environmental density (from independent astrophysical constraints) or </w:t>
      </w:r>
      <w:r>
        <w:t>considering ensembles of events rather than single systems may break degeneracies that are unresolvable on a per-event basis.</w:t>
      </w:r>
    </w:p>
    <w:p w14:paraId="2739814B" w14:textId="77777777" w:rsidR="00FB12A5" w:rsidRDefault="007379D2">
      <w:pPr>
        <w:pStyle w:val="ListParagraph"/>
        <w:numPr>
          <w:ilvl w:val="0"/>
          <w:numId w:val="1"/>
        </w:numPr>
        <w:spacing w:after="80"/>
      </w:pPr>
      <w:r>
        <w:t>Beyond the Fisher approximation. Since the Fisher matrix is a high-SNR, locally linearised approximation that is least reliable pr</w:t>
      </w:r>
      <w:r>
        <w:t>ecisely near degeneracies, a full Bayesian parameter-estimation follow-up on the most promising configurations would confirm whether the reported degeneracy is conservative or whether non-Gaussian tails in the posterior offer additional separating power.</w:t>
      </w:r>
    </w:p>
    <w:p w14:paraId="6421EAA4" w14:textId="77777777" w:rsidR="00FB12A5" w:rsidRDefault="007379D2">
      <w:pPr>
        <w:pStyle w:val="ListParagraph"/>
        <w:numPr>
          <w:ilvl w:val="0"/>
          <w:numId w:val="1"/>
        </w:numPr>
        <w:spacing w:after="80"/>
      </w:pPr>
      <w:r>
        <w:t>S</w:t>
      </w:r>
      <w:r>
        <w:t>pin and eccentricity. The current phase model omits spin and eccentricity; adding them is expected to increase, not decrease, marginalised confusion, but should be verified explicitly rather than assumed.</w:t>
      </w:r>
    </w:p>
    <w:p w14:paraId="043391F7" w14:textId="77777777" w:rsidR="00FB12A5" w:rsidRDefault="007379D2">
      <w:pPr>
        <w:pStyle w:val="Heading1"/>
        <w:spacing w:before="280" w:after="140"/>
      </w:pPr>
      <w:r>
        <w:t>7. Conclusion</w:t>
      </w:r>
    </w:p>
    <w:p w14:paraId="497351EC" w14:textId="77777777" w:rsidR="00FB12A5" w:rsidRDefault="007379D2">
      <w:pPr>
        <w:spacing w:after="160"/>
      </w:pPr>
      <w:r>
        <w:t>This theoretical framework establishe</w:t>
      </w:r>
      <w:r>
        <w:t>s the vacuum baseline, the four DM dephasing mechanisms considered in the self-interacting scalar-cloud model, and the joint Fisher-information formalism used to test mechanism attribution rather than mere detection. The framework's central prediction — th</w:t>
      </w:r>
      <w:r>
        <w:t>at accretion and dynamical friction, sharing a common −5.5PN carrier, should be difficult to distinguish from waveform shape alone — is borne out by the companion numerical analysis and is structurally, not numerically, motivated. The planned expansions in</w:t>
      </w:r>
      <w:r>
        <w:t xml:space="preserve"> Section 6 aim to test how general this conclusion is across DM candidates, detectors, and analysis frameworks.</w:t>
      </w:r>
    </w:p>
    <w:p w14:paraId="681AB67B" w14:textId="77777777" w:rsidR="00FB12A5" w:rsidRDefault="007379D2">
      <w:pPr>
        <w:pStyle w:val="Heading1"/>
        <w:spacing w:before="280" w:after="140"/>
      </w:pPr>
      <w:r>
        <w:t>References</w:t>
      </w:r>
    </w:p>
    <w:p w14:paraId="63D76E2A" w14:textId="77777777" w:rsidR="00FB12A5" w:rsidRDefault="007379D2">
      <w:pPr>
        <w:spacing w:after="120"/>
        <w:ind w:left="360" w:hanging="360"/>
      </w:pPr>
      <w:r>
        <w:rPr>
          <w:sz w:val="21"/>
          <w:szCs w:val="21"/>
        </w:rPr>
        <w:t>[1] A. Boudon, P. Brax, P. Valageas and L. K. Wong, "Gravitational waves from binary black holes in a self-interacting scalar dark ma</w:t>
      </w:r>
      <w:r>
        <w:rPr>
          <w:sz w:val="21"/>
          <w:szCs w:val="21"/>
        </w:rPr>
        <w:t>tter cloud," Phys. Rev. D 108, 103517 (2023), arXiv:2305.18540 [astro-ph.CO].</w:t>
      </w:r>
    </w:p>
    <w:p w14:paraId="5AAA2729" w14:textId="77777777" w:rsidR="00FB12A5" w:rsidRDefault="007379D2">
      <w:pPr>
        <w:spacing w:after="120"/>
        <w:ind w:left="360" w:hanging="360"/>
      </w:pPr>
      <w:r>
        <w:rPr>
          <w:sz w:val="21"/>
          <w:szCs w:val="21"/>
        </w:rPr>
        <w:t>[2] T. Robson, N. J. Cornish and C. Liu, "The construction and use of LISA sensitivity curves," Class. Quantum Grav. 36, 105011 (2019), arXiv:1803.01944 [astro-ph.HE].</w:t>
      </w:r>
    </w:p>
    <w:p w14:paraId="4CAD2AEF" w14:textId="77777777" w:rsidR="00FB12A5" w:rsidRDefault="007379D2">
      <w:pPr>
        <w:spacing w:after="120"/>
        <w:ind w:left="360" w:hanging="360"/>
      </w:pPr>
      <w:r>
        <w:rPr>
          <w:sz w:val="21"/>
          <w:szCs w:val="21"/>
        </w:rPr>
        <w:t>[3] C. Cut</w:t>
      </w:r>
      <w:r>
        <w:rPr>
          <w:sz w:val="21"/>
          <w:szCs w:val="21"/>
        </w:rPr>
        <w:t>ler and E. E. Flanagan, "Gravitational waves from merging compact binaries: How accurately can one extract the binary's parameters from the inspiral waveform?," Phys. Rev. D 49, 2658 (1994).</w:t>
      </w:r>
    </w:p>
    <w:p w14:paraId="2A54E0E7" w14:textId="77777777" w:rsidR="00FB12A5" w:rsidRDefault="007379D2">
      <w:pPr>
        <w:spacing w:after="120"/>
        <w:ind w:left="360" w:hanging="360"/>
      </w:pPr>
      <w:r>
        <w:rPr>
          <w:sz w:val="21"/>
          <w:szCs w:val="21"/>
        </w:rPr>
        <w:t>[4] "Gravitational waves of quasi-circular, inspiraling black hol</w:t>
      </w:r>
      <w:r>
        <w:rPr>
          <w:sz w:val="21"/>
          <w:szCs w:val="21"/>
        </w:rPr>
        <w:t>e binaries in an ultralight vector dark-matter environment," arXiv:2505.21383.</w:t>
      </w:r>
    </w:p>
    <w:p w14:paraId="1544BBBD" w14:textId="77777777" w:rsidR="00FB12A5" w:rsidRDefault="007379D2">
      <w:pPr>
        <w:spacing w:after="120"/>
        <w:ind w:left="360" w:hanging="360"/>
      </w:pPr>
      <w:r>
        <w:rPr>
          <w:sz w:val="21"/>
          <w:szCs w:val="21"/>
        </w:rPr>
        <w:t>[5] T. Traykova et al., "Dynamical friction from scalar dark matter in the relativistic regime."</w:t>
      </w:r>
    </w:p>
    <w:p w14:paraId="08E2EF85" w14:textId="77777777" w:rsidR="00FB12A5" w:rsidRDefault="007379D2">
      <w:pPr>
        <w:spacing w:after="120"/>
        <w:ind w:left="360" w:hanging="360"/>
      </w:pPr>
      <w:r>
        <w:rPr>
          <w:sz w:val="21"/>
          <w:szCs w:val="21"/>
        </w:rPr>
        <w:t>[6] "Dephasing in binary black hole mergers surrounded by scalar wave dark matter clouds."</w:t>
      </w:r>
    </w:p>
    <w:p w14:paraId="050B7B17" w14:textId="77777777" w:rsidR="00FB12A5" w:rsidRDefault="007379D2">
      <w:pPr>
        <w:spacing w:after="120"/>
        <w:ind w:left="360" w:hanging="360"/>
      </w:pPr>
      <w:r>
        <w:rPr>
          <w:sz w:val="21"/>
          <w:szCs w:val="21"/>
        </w:rPr>
        <w:t>[7] Eda, K. et al. and Kavanagh, B. J. et al., constraints on particle dark-matter spikes from gravitational-wave observations of binaries.</w:t>
      </w:r>
    </w:p>
    <w:p w14:paraId="247DD68E" w14:textId="77777777" w:rsidR="00FB12A5" w:rsidRDefault="007379D2">
      <w:pPr>
        <w:spacing w:after="120"/>
        <w:ind w:left="360" w:hanging="360"/>
      </w:pPr>
      <w:r>
        <w:rPr>
          <w:sz w:val="21"/>
          <w:szCs w:val="21"/>
        </w:rPr>
        <w:lastRenderedPageBreak/>
        <w:t>[8] M. Vallisneri, "Use and abuse of the Fisher information matrix in the assessment of gravitational-wave parameter-estimation prospects," Phys. Rev. D 77, 042001 (2008).</w:t>
      </w:r>
    </w:p>
    <w:p w14:paraId="0A9CDE14" w14:textId="77777777" w:rsidR="00FB12A5" w:rsidRDefault="007379D2">
      <w:pPr>
        <w:spacing w:after="120"/>
        <w:ind w:left="360" w:hanging="360"/>
      </w:pPr>
      <w:r>
        <w:rPr>
          <w:sz w:val="21"/>
          <w:szCs w:val="21"/>
        </w:rPr>
        <w:t>[9] D. N. Khoa, "Fisher-matrix distinguishability of dark-matter dephasing mechanism</w:t>
      </w:r>
      <w:r>
        <w:rPr>
          <w:sz w:val="21"/>
          <w:szCs w:val="21"/>
        </w:rPr>
        <w:t>s in LISA observations" (project code documentation and results summary, internal, 2026).</w:t>
      </w:r>
    </w:p>
    <w:sectPr w:rsidR="00FB12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5B1"/>
    <w:multiLevelType w:val="hybridMultilevel"/>
    <w:tmpl w:val="540E0F42"/>
    <w:lvl w:ilvl="0" w:tplc="9A6A401A">
      <w:start w:val="1"/>
      <w:numFmt w:val="bullet"/>
      <w:lvlText w:val="●"/>
      <w:lvlJc w:val="left"/>
      <w:pPr>
        <w:ind w:left="720" w:hanging="360"/>
      </w:pPr>
    </w:lvl>
    <w:lvl w:ilvl="1" w:tplc="ADDC3B7C">
      <w:start w:val="1"/>
      <w:numFmt w:val="bullet"/>
      <w:lvlText w:val="○"/>
      <w:lvlJc w:val="left"/>
      <w:pPr>
        <w:ind w:left="1440" w:hanging="360"/>
      </w:pPr>
    </w:lvl>
    <w:lvl w:ilvl="2" w:tplc="84A4EDE4">
      <w:start w:val="1"/>
      <w:numFmt w:val="bullet"/>
      <w:lvlText w:val="■"/>
      <w:lvlJc w:val="left"/>
      <w:pPr>
        <w:ind w:left="2160" w:hanging="360"/>
      </w:pPr>
    </w:lvl>
    <w:lvl w:ilvl="3" w:tplc="EFE83450">
      <w:start w:val="1"/>
      <w:numFmt w:val="bullet"/>
      <w:lvlText w:val="●"/>
      <w:lvlJc w:val="left"/>
      <w:pPr>
        <w:ind w:left="2880" w:hanging="360"/>
      </w:pPr>
    </w:lvl>
    <w:lvl w:ilvl="4" w:tplc="70BE8DE6">
      <w:start w:val="1"/>
      <w:numFmt w:val="bullet"/>
      <w:lvlText w:val="○"/>
      <w:lvlJc w:val="left"/>
      <w:pPr>
        <w:ind w:left="3600" w:hanging="360"/>
      </w:pPr>
    </w:lvl>
    <w:lvl w:ilvl="5" w:tplc="23E6A408">
      <w:start w:val="1"/>
      <w:numFmt w:val="bullet"/>
      <w:lvlText w:val="■"/>
      <w:lvlJc w:val="left"/>
      <w:pPr>
        <w:ind w:left="4320" w:hanging="360"/>
      </w:pPr>
    </w:lvl>
    <w:lvl w:ilvl="6" w:tplc="6554C022">
      <w:start w:val="1"/>
      <w:numFmt w:val="bullet"/>
      <w:lvlText w:val="●"/>
      <w:lvlJc w:val="left"/>
      <w:pPr>
        <w:ind w:left="5040" w:hanging="360"/>
      </w:pPr>
    </w:lvl>
    <w:lvl w:ilvl="7" w:tplc="5394B5BA">
      <w:start w:val="1"/>
      <w:numFmt w:val="bullet"/>
      <w:lvlText w:val="●"/>
      <w:lvlJc w:val="left"/>
      <w:pPr>
        <w:ind w:left="5760" w:hanging="360"/>
      </w:pPr>
    </w:lvl>
    <w:lvl w:ilvl="8" w:tplc="137023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2A5"/>
    <w:rsid w:val="00181338"/>
    <w:rsid w:val="007379D2"/>
    <w:rsid w:val="00FB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006D"/>
  <w15:docId w15:val="{8E08E086-F2C9-4DE7-83AA-4E4227874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894</TotalTime>
  <Pages>1</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Yuuto Duong</cp:lastModifiedBy>
  <cp:revision>3</cp:revision>
  <dcterms:created xsi:type="dcterms:W3CDTF">2026-09-10T16:40:00Z</dcterms:created>
  <dcterms:modified xsi:type="dcterms:W3CDTF">2026-09-12T09:23:00Z</dcterms:modified>
</cp:coreProperties>
</file>