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《基于深度时序模型的压裂作业多步压力预测系统》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w:t>
      </w:r>
      <w:r>
        <w:rPr>
          <w:rFonts w:hint="eastAsia"/>
          <w:b/>
          <w:bCs/>
          <w:sz w:val="44"/>
        </w:rPr>
        <w:t>24年0</w:t>
      </w:r>
      <w:r>
        <w:rPr>
          <w:rFonts w:hint="eastAsia"/>
          <w:b/>
          <w:bCs/>
          <w:sz w:val="44"/>
          <w:lang w:val="en-US" w:eastAsia="zh-CN"/>
        </w:rPr>
        <w:t>6</w:t>
      </w:r>
      <w:r>
        <w:rPr>
          <w:rFonts w:hint="eastAsia"/>
          <w:b/>
          <w:bCs/>
          <w:sz w:val="44"/>
        </w:rPr>
        <w:t>月1</w:t>
      </w:r>
      <w:r>
        <w:rPr>
          <w:rFonts w:hint="eastAsia"/>
          <w:b/>
          <w:bCs/>
          <w:sz w:val="44"/>
          <w:lang w:val="en-US" w:eastAsia="zh-CN"/>
        </w:rPr>
        <w:t>5</w:t>
      </w:r>
      <w:r>
        <w:rPr>
          <w:rFonts w:hint="eastAsia"/>
          <w:b/>
          <w:bCs/>
          <w:sz w:val="44"/>
        </w:rPr>
        <w:t>日</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202231032110</w:t>
            </w:r>
          </w:p>
        </w:tc>
        <w:tc>
          <w:tcPr>
            <w:tcW w:w="2843" w:type="dxa"/>
            <w:vAlign w:val="top"/>
          </w:tcPr>
          <w:p>
            <w:pPr>
              <w:jc w:val="center"/>
              <w:rPr>
                <w:b/>
                <w:bCs/>
                <w:sz w:val="24"/>
                <w:szCs w:val="24"/>
              </w:rPr>
            </w:pPr>
            <w:r>
              <w:rPr>
                <w:rFonts w:hint="eastAsia"/>
                <w:b/>
                <w:bCs/>
                <w:sz w:val="24"/>
              </w:rPr>
              <w:t>江晨宇</w:t>
            </w:r>
          </w:p>
        </w:tc>
        <w:tc>
          <w:tcPr>
            <w:tcW w:w="2843" w:type="dxa"/>
            <w:vAlign w:val="top"/>
          </w:tcPr>
          <w:p>
            <w:pPr>
              <w:jc w:val="center"/>
              <w:rPr>
                <w:b/>
                <w:bCs/>
                <w:sz w:val="24"/>
                <w:szCs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202231060701</w:t>
            </w:r>
          </w:p>
        </w:tc>
        <w:tc>
          <w:tcPr>
            <w:tcW w:w="2843" w:type="dxa"/>
            <w:vAlign w:val="top"/>
          </w:tcPr>
          <w:p>
            <w:pPr>
              <w:jc w:val="center"/>
              <w:rPr>
                <w:b/>
                <w:bCs/>
                <w:sz w:val="24"/>
                <w:szCs w:val="24"/>
              </w:rPr>
            </w:pPr>
            <w:r>
              <w:rPr>
                <w:rFonts w:hint="eastAsia"/>
                <w:b/>
                <w:bCs/>
                <w:sz w:val="24"/>
              </w:rPr>
              <w:t>李佳壕</w:t>
            </w:r>
          </w:p>
        </w:tc>
        <w:tc>
          <w:tcPr>
            <w:tcW w:w="2843" w:type="dxa"/>
            <w:vAlign w:val="top"/>
          </w:tcPr>
          <w:p>
            <w:pPr>
              <w:jc w:val="center"/>
              <w:rPr>
                <w:rFonts w:hint="eastAsia"/>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202231060608</w:t>
            </w:r>
          </w:p>
        </w:tc>
        <w:tc>
          <w:tcPr>
            <w:tcW w:w="2843" w:type="dxa"/>
            <w:vAlign w:val="top"/>
          </w:tcPr>
          <w:p>
            <w:pPr>
              <w:jc w:val="center"/>
              <w:rPr>
                <w:b/>
                <w:bCs/>
                <w:sz w:val="24"/>
                <w:szCs w:val="24"/>
              </w:rPr>
            </w:pPr>
            <w:r>
              <w:rPr>
                <w:rFonts w:hint="eastAsia"/>
                <w:b/>
                <w:bCs/>
                <w:sz w:val="24"/>
              </w:rPr>
              <w:t>赵杰</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202231060916</w:t>
            </w:r>
          </w:p>
        </w:tc>
        <w:tc>
          <w:tcPr>
            <w:tcW w:w="2843" w:type="dxa"/>
            <w:vAlign w:val="top"/>
          </w:tcPr>
          <w:p>
            <w:pPr>
              <w:jc w:val="center"/>
              <w:rPr>
                <w:b/>
                <w:bCs/>
                <w:sz w:val="24"/>
                <w:szCs w:val="24"/>
              </w:rPr>
            </w:pPr>
            <w:r>
              <w:rPr>
                <w:rFonts w:hint="eastAsia"/>
                <w:b/>
                <w:bCs/>
                <w:sz w:val="24"/>
              </w:rPr>
              <w:t>黄定诚诚</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202231060913</w:t>
            </w:r>
          </w:p>
        </w:tc>
        <w:tc>
          <w:tcPr>
            <w:tcW w:w="2843" w:type="dxa"/>
            <w:vAlign w:val="top"/>
          </w:tcPr>
          <w:p>
            <w:pPr>
              <w:jc w:val="center"/>
              <w:rPr>
                <w:b/>
                <w:bCs/>
                <w:sz w:val="24"/>
                <w:szCs w:val="24"/>
              </w:rPr>
            </w:pPr>
            <w:r>
              <w:rPr>
                <w:rFonts w:hint="eastAsia"/>
                <w:b/>
                <w:bCs/>
                <w:sz w:val="24"/>
              </w:rPr>
              <w:t>于耀</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202231105239</w:t>
            </w:r>
          </w:p>
        </w:tc>
        <w:tc>
          <w:tcPr>
            <w:tcW w:w="2843" w:type="dxa"/>
            <w:vAlign w:val="top"/>
          </w:tcPr>
          <w:p>
            <w:pPr>
              <w:jc w:val="center"/>
              <w:rPr>
                <w:b/>
                <w:bCs/>
                <w:sz w:val="24"/>
                <w:szCs w:val="24"/>
              </w:rPr>
            </w:pPr>
            <w:r>
              <w:rPr>
                <w:rFonts w:hint="eastAsia"/>
                <w:b/>
                <w:bCs/>
                <w:sz w:val="24"/>
              </w:rPr>
              <w:t>潘鼎琪</w:t>
            </w:r>
          </w:p>
        </w:tc>
        <w:tc>
          <w:tcPr>
            <w:tcW w:w="2843" w:type="dxa"/>
            <w:vAlign w:val="top"/>
          </w:tcPr>
          <w:p>
            <w:pPr>
              <w:jc w:val="center"/>
              <w:rPr>
                <w:rFonts w:hint="eastAsia" w:eastAsia="宋体"/>
                <w:b/>
                <w:bCs/>
                <w:sz w:val="24"/>
                <w:szCs w:val="24"/>
                <w:lang w:val="en-US" w:eastAsia="zh-CN"/>
              </w:rPr>
            </w:pPr>
            <w:r>
              <w:rPr>
                <w:rFonts w:hint="eastAsia"/>
                <w:b/>
                <w:bCs/>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pPr>
              <w:jc w:val="center"/>
              <w:rPr>
                <w:b/>
                <w:bCs/>
                <w:sz w:val="24"/>
                <w:szCs w:val="24"/>
              </w:rPr>
            </w:pPr>
            <w:r>
              <w:rPr>
                <w:rFonts w:hint="eastAsia"/>
                <w:b/>
                <w:bCs/>
                <w:sz w:val="24"/>
              </w:rPr>
              <w:t>202231036125</w:t>
            </w:r>
          </w:p>
        </w:tc>
        <w:tc>
          <w:tcPr>
            <w:tcW w:w="2843" w:type="dxa"/>
            <w:vAlign w:val="top"/>
          </w:tcPr>
          <w:p>
            <w:pPr>
              <w:jc w:val="center"/>
              <w:rPr>
                <w:b/>
                <w:bCs/>
                <w:sz w:val="24"/>
                <w:szCs w:val="24"/>
              </w:rPr>
            </w:pPr>
            <w:r>
              <w:rPr>
                <w:rFonts w:hint="eastAsia"/>
                <w:b/>
                <w:bCs/>
                <w:sz w:val="24"/>
              </w:rPr>
              <w:t>董子涵</w:t>
            </w:r>
          </w:p>
        </w:tc>
        <w:tc>
          <w:tcPr>
            <w:tcW w:w="2843" w:type="dxa"/>
            <w:vAlign w:val="top"/>
          </w:tcPr>
          <w:p>
            <w:pPr>
              <w:jc w:val="center"/>
              <w:rPr>
                <w:rFonts w:hint="default"/>
                <w:b/>
                <w:bCs/>
                <w:sz w:val="24"/>
                <w:szCs w:val="24"/>
                <w:lang w:val="en-US" w:eastAsia="zh-CN"/>
              </w:rPr>
            </w:pPr>
            <w:r>
              <w:rPr>
                <w:rFonts w:hint="eastAsia"/>
                <w:b/>
                <w:bCs/>
                <w:sz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李佳壕</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撰写系统描述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李佳壕</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2024.6.19</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2024.6.20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撰写性能需求和功能约束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2024.6.20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撰写其他需求和接口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hint="default" w:ascii="微软雅黑" w:hAnsi="微软雅黑" w:eastAsia="微软雅黑"/>
                <w:sz w:val="24"/>
                <w:szCs w:val="24"/>
                <w:lang w:val="en-US"/>
              </w:rPr>
            </w:pPr>
            <w:r>
              <w:rPr>
                <w:rFonts w:hint="eastAsia" w:ascii="微软雅黑" w:hAnsi="微软雅黑" w:eastAsia="微软雅黑"/>
                <w:sz w:val="24"/>
                <w:szCs w:val="24"/>
                <w:lang w:val="en-US" w:eastAsia="zh-CN"/>
              </w:rPr>
              <w:t>2024.6.21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撰写附录：功能模型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2024.6.21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修改软件</w:t>
            </w:r>
            <w:bookmarkStart w:id="29" w:name="_GoBack"/>
            <w:bookmarkEnd w:id="29"/>
            <w:r>
              <w:rPr>
                <w:rFonts w:hint="eastAsia" w:ascii="微软雅黑" w:hAnsi="微软雅黑" w:eastAsia="微软雅黑"/>
                <w:sz w:val="24"/>
                <w:szCs w:val="24"/>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ind w:firstLine="420" w:firstLineChars="0"/>
        <w:rPr>
          <w:rFonts w:hint="default"/>
          <w:lang w:val="en-US"/>
        </w:rPr>
      </w:pPr>
      <w:bookmarkStart w:id="2" w:name="_Toc18381290"/>
      <w:r>
        <w:rPr>
          <w:rFonts w:hint="eastAsia"/>
          <w:lang w:val="en-US" w:eastAsia="zh-CN"/>
        </w:rPr>
        <w:t>水力压裂预测技术是一项关键的技术，对于能源行业的开采效率和环境保护具有重要意义。本报告计划书旨在探讨水力压裂预测技术的商业潜力和实施方案，包括市场分析、盈利模式、教育维度等方面，以指导企业实现商业模式的成功实施并满足市场需求、技术发展和法规变化的挑战。</w:t>
      </w:r>
    </w:p>
    <w:p>
      <w:pPr>
        <w:pStyle w:val="4"/>
      </w:pPr>
      <w:r>
        <w:rPr>
          <w:rFonts w:hint="eastAsia"/>
        </w:rPr>
        <w:t>定义</w:t>
      </w:r>
      <w:bookmarkEnd w:id="2"/>
    </w:p>
    <w:p>
      <w:pPr>
        <w:pStyle w:val="3"/>
        <w:ind w:left="0" w:leftChars="0" w:firstLine="0" w:firstLineChars="0"/>
        <w:rPr>
          <w:rFonts w:hint="eastAsia" w:eastAsia="宋体"/>
          <w:lang w:val="en-US" w:eastAsia="zh-CN"/>
        </w:rPr>
      </w:pPr>
      <w:r>
        <w:rPr>
          <w:rFonts w:hint="eastAsia"/>
          <w:lang w:val="en-US" w:eastAsia="zh-CN"/>
        </w:rPr>
        <w:t>见附录</w:t>
      </w:r>
    </w:p>
    <w:p>
      <w:pPr>
        <w:pStyle w:val="4"/>
      </w:pPr>
      <w:bookmarkStart w:id="3" w:name="_Toc18381291"/>
      <w:r>
        <w:rPr>
          <w:rFonts w:hint="eastAsia"/>
        </w:rPr>
        <w:t>参考资料</w:t>
      </w:r>
      <w:bookmarkEnd w:id="3"/>
    </w:p>
    <w:p>
      <w:pPr>
        <w:keepNext w:val="0"/>
        <w:keepLines w:val="0"/>
        <w:widowControl/>
        <w:numPr>
          <w:ilvl w:val="0"/>
          <w:numId w:val="2"/>
        </w:numPr>
        <w:suppressLineNumbers w:val="0"/>
        <w:jc w:val="left"/>
        <w:rPr>
          <w:rFonts w:hint="eastAsia" w:ascii="宋体" w:hAnsi="宋体" w:eastAsia="宋体" w:cs="宋体"/>
          <w:snapToGrid w:val="0"/>
          <w:color w:val="444444"/>
          <w:kern w:val="0"/>
          <w:sz w:val="21"/>
          <w:szCs w:val="21"/>
          <w:lang w:val="en-US" w:eastAsia="zh-CN" w:bidi="ar"/>
        </w:rPr>
      </w:pPr>
      <w:r>
        <w:rPr>
          <w:rFonts w:hint="eastAsia" w:ascii="宋体" w:hAnsi="宋体" w:eastAsia="宋体" w:cs="宋体"/>
          <w:snapToGrid w:val="0"/>
          <w:color w:val="444444"/>
          <w:kern w:val="0"/>
          <w:sz w:val="21"/>
          <w:szCs w:val="21"/>
          <w:lang w:val="en-US" w:eastAsia="zh-CN" w:bidi="ar"/>
        </w:rPr>
        <w:t>蒋廷学</w:t>
      </w:r>
      <w:r>
        <w:rPr>
          <w:rFonts w:hint="eastAsia" w:ascii="宋体" w:hAnsi="宋体" w:cs="宋体"/>
          <w:snapToGrid w:val="0"/>
          <w:color w:val="444444"/>
          <w:kern w:val="0"/>
          <w:sz w:val="21"/>
          <w:szCs w:val="21"/>
          <w:lang w:val="en-US" w:eastAsia="zh-CN" w:bidi="ar"/>
        </w:rPr>
        <w:t>： 低</w:t>
      </w:r>
      <w:r>
        <w:rPr>
          <w:rFonts w:hint="eastAsia" w:ascii="宋体" w:hAnsi="宋体" w:eastAsia="宋体" w:cs="宋体"/>
          <w:snapToGrid w:val="0"/>
          <w:color w:val="444444"/>
          <w:kern w:val="0"/>
          <w:sz w:val="21"/>
          <w:szCs w:val="21"/>
          <w:lang w:val="en-US" w:eastAsia="zh-CN" w:bidi="ar"/>
        </w:rPr>
        <w:t>渗透油藏压裂井动态预测的有限元方法</w:t>
      </w:r>
    </w:p>
    <w:p>
      <w:pPr>
        <w:keepNext w:val="0"/>
        <w:keepLines w:val="0"/>
        <w:widowControl/>
        <w:numPr>
          <w:ilvl w:val="0"/>
          <w:numId w:val="2"/>
        </w:numPr>
        <w:suppressLineNumbers w:val="0"/>
        <w:jc w:val="left"/>
        <w:rPr>
          <w:rFonts w:hint="eastAsia" w:ascii="宋体" w:hAnsi="宋体" w:eastAsia="宋体" w:cs="宋体"/>
          <w:snapToGrid w:val="0"/>
          <w:color w:val="444444"/>
          <w:kern w:val="0"/>
          <w:sz w:val="21"/>
          <w:szCs w:val="21"/>
          <w:lang w:val="en-US" w:eastAsia="zh-CN" w:bidi="ar"/>
        </w:rPr>
      </w:pPr>
      <w:r>
        <w:rPr>
          <w:rFonts w:hint="eastAsia" w:ascii="宋体" w:hAnsi="宋体" w:cs="宋体"/>
          <w:snapToGrid w:val="0"/>
          <w:color w:val="444444"/>
          <w:kern w:val="0"/>
          <w:sz w:val="21"/>
          <w:szCs w:val="21"/>
          <w:lang w:val="en-US" w:eastAsia="zh-CN" w:bidi="ar"/>
        </w:rPr>
        <w:t>孙浩</w:t>
      </w:r>
      <w:r>
        <w:rPr>
          <w:rFonts w:hint="eastAsia" w:ascii="宋体" w:hAnsi="宋体" w:eastAsia="宋体" w:cs="宋体"/>
          <w:snapToGrid w:val="0"/>
          <w:color w:val="444444"/>
          <w:kern w:val="0"/>
          <w:sz w:val="21"/>
          <w:szCs w:val="21"/>
          <w:lang w:val="en-US" w:eastAsia="zh-CN" w:bidi="ar"/>
        </w:rPr>
        <w:t>：基于机器学习的碳酸盐岩油藏地层压力预测</w:t>
      </w:r>
    </w:p>
    <w:p>
      <w:pPr>
        <w:keepNext w:val="0"/>
        <w:keepLines w:val="0"/>
        <w:widowControl/>
        <w:numPr>
          <w:ilvl w:val="0"/>
          <w:numId w:val="2"/>
        </w:numPr>
        <w:suppressLineNumbers w:val="0"/>
        <w:jc w:val="left"/>
        <w:rPr>
          <w:rFonts w:hint="eastAsia" w:ascii="宋体" w:hAnsi="宋体" w:eastAsia="宋体" w:cs="宋体"/>
          <w:snapToGrid w:val="0"/>
          <w:color w:val="444444"/>
          <w:kern w:val="0"/>
          <w:sz w:val="21"/>
          <w:szCs w:val="21"/>
          <w:lang w:val="en-US" w:eastAsia="zh-CN" w:bidi="ar"/>
        </w:rPr>
      </w:pPr>
      <w:r>
        <w:rPr>
          <w:rFonts w:hint="eastAsia" w:ascii="宋体" w:hAnsi="宋体" w:cs="宋体"/>
          <w:snapToGrid w:val="0"/>
          <w:color w:val="444444"/>
          <w:kern w:val="0"/>
          <w:sz w:val="21"/>
          <w:szCs w:val="21"/>
          <w:lang w:val="en-US" w:eastAsia="zh-CN" w:bidi="ar"/>
        </w:rPr>
        <w:t>曹勇博：基于改进的动态图时空卷积神经网路的交通流预测</w:t>
      </w:r>
    </w:p>
    <w:p>
      <w:pPr>
        <w:keepNext w:val="0"/>
        <w:keepLines w:val="0"/>
        <w:widowControl/>
        <w:suppressLineNumbers w:val="0"/>
        <w:jc w:val="left"/>
        <w:rPr>
          <w:rFonts w:hint="eastAsia" w:ascii="宋体" w:hAnsi="宋体" w:eastAsia="宋体" w:cs="宋体"/>
          <w:sz w:val="21"/>
          <w:szCs w:val="21"/>
        </w:rPr>
      </w:pPr>
    </w:p>
    <w:p>
      <w:pPr>
        <w:pStyle w:val="63"/>
        <w:rPr>
          <w:rFonts w:ascii="宋体"/>
          <w:b/>
          <w:sz w:val="24"/>
        </w:rPr>
      </w:pPr>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pStyle w:val="3"/>
        <w:rPr>
          <w:rFonts w:hint="eastAsia" w:ascii="宋体" w:hAnsi="宋体" w:eastAsia="宋体" w:cs="宋体"/>
          <w:snapToGrid w:val="0"/>
          <w:color w:val="444444"/>
          <w:kern w:val="0"/>
          <w:sz w:val="21"/>
          <w:szCs w:val="21"/>
          <w:lang w:val="en-US" w:eastAsia="zh-CN" w:bidi="ar"/>
        </w:rPr>
      </w:pPr>
      <w:r>
        <w:rPr>
          <w:rFonts w:hint="eastAsia" w:ascii="宋体" w:hAnsi="宋体" w:eastAsia="宋体" w:cs="宋体"/>
          <w:snapToGrid w:val="0"/>
          <w:color w:val="444444"/>
          <w:kern w:val="0"/>
          <w:sz w:val="21"/>
          <w:szCs w:val="21"/>
          <w:lang w:val="en-US" w:eastAsia="zh-CN" w:bidi="ar"/>
        </w:rPr>
        <w:t>基于深度时序模型的压裂作业多步压力预测系统</w:t>
      </w:r>
    </w:p>
    <w:p>
      <w:pPr>
        <w:pStyle w:val="4"/>
      </w:pPr>
      <w:bookmarkStart w:id="6" w:name="_Toc18381294"/>
      <w:r>
        <w:rPr>
          <w:rFonts w:hint="eastAsia"/>
        </w:rPr>
        <w:t>软件描述</w:t>
      </w:r>
      <w:bookmarkEnd w:id="6"/>
    </w:p>
    <w:p>
      <w:pPr>
        <w:pStyle w:val="5"/>
      </w:pPr>
      <w:bookmarkStart w:id="7" w:name="_Toc18381295"/>
      <w:r>
        <w:rPr>
          <w:rFonts w:hint="eastAsia"/>
        </w:rPr>
        <w:t>系统属性</w:t>
      </w:r>
      <w:bookmarkEnd w:id="7"/>
    </w:p>
    <w:p>
      <w:pPr>
        <w:pStyle w:val="3"/>
        <w:rPr>
          <w:rFonts w:hint="eastAsia" w:ascii="宋体" w:hAnsi="宋体" w:eastAsia="宋体" w:cs="宋体"/>
          <w:snapToGrid w:val="0"/>
          <w:color w:val="444444"/>
          <w:kern w:val="0"/>
          <w:sz w:val="21"/>
          <w:szCs w:val="21"/>
          <w:lang w:val="en-US" w:eastAsia="zh-CN" w:bidi="ar"/>
        </w:rPr>
      </w:pPr>
      <w:r>
        <w:rPr>
          <w:rFonts w:hint="eastAsia" w:ascii="宋体" w:hAnsi="宋体" w:eastAsia="宋体" w:cs="宋体"/>
          <w:snapToGrid w:val="0"/>
          <w:color w:val="444444"/>
          <w:kern w:val="0"/>
          <w:sz w:val="21"/>
          <w:szCs w:val="21"/>
          <w:lang w:val="en-US" w:eastAsia="zh-CN" w:bidi="ar"/>
        </w:rPr>
        <w:t>该软件是独立开发，无与其他相关产品之间的关系。</w:t>
      </w:r>
    </w:p>
    <w:p>
      <w:pPr>
        <w:pStyle w:val="5"/>
      </w:pPr>
      <w:bookmarkStart w:id="8" w:name="_Toc18381296"/>
      <w:r>
        <w:rPr>
          <w:rFonts w:hint="eastAsia"/>
        </w:rPr>
        <w:t>开发背景</w:t>
      </w:r>
      <w:bookmarkEnd w:id="8"/>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随着全球能源需求的不断增长，油气资源的开发已经成为能源战略的关键环节。水力压裂技术，作为提升油气藏渗透率和产量的重要技术手段，在非常规油气资源的开发中发挥着至关重要的作用。以美国为例，美国能源信息署（EIA）</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的数据显示，自2000年以来，得益于水力压裂技术的广泛应用，页岩气产量实现了近1600%的惊人增长，这一成就凸显了压裂技术在提高油气产量方面的巨大潜力和价值。然而，压裂作业中的压力变化极为复杂，涉及多种物理和化学过程，压力的精确控制直接关系到作业的安全性和效率。以大庆油田为例，目前其采油井压裂效果预测时多是凭借经验或者多元线性回归等简单模型，但这些方法受限于模型假设的简化和数据的不完整性，难以精确捕捉实际压裂过程中的动态变化。研究指出，传统模型在预测页岩气压裂过程中的压力分布时，平均误差率达到了15%，这在实际操作中可能导致资源浪费和安全隐患。</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随着人工智能技术的飞速进展，深度学习在处理时序数据预测方面已经取得了突破性的成就。本项目采用深度时序模型技术，旨在精确预测水力压裂作业中的井口压力波动，以便及时发现并预防潜在的压力异常情况，从而显著降低作业风险。这一创新方法预期将为油气开采技术的持续优化和提升提供重要动力。</w:t>
      </w:r>
    </w:p>
    <w:p>
      <w:pPr>
        <w:pStyle w:val="5"/>
      </w:pPr>
      <w:bookmarkStart w:id="9" w:name="_Toc18381297"/>
      <w:r>
        <w:rPr>
          <w:rFonts w:hint="eastAsia"/>
        </w:rPr>
        <w:t>软件功能</w:t>
      </w:r>
      <w:bookmarkEnd w:id="9"/>
    </w:p>
    <w:p>
      <w:pPr>
        <w:numPr>
          <w:ilvl w:val="4"/>
          <w:numId w:val="3"/>
        </w:numPr>
        <w:spacing w:line="360" w:lineRule="auto"/>
        <w:rPr>
          <w:rFonts w:ascii="宋体"/>
          <w:sz w:val="24"/>
        </w:rPr>
      </w:pPr>
      <w:r>
        <w:rPr>
          <w:rFonts w:hint="eastAsia" w:ascii="宋体"/>
          <w:sz w:val="24"/>
        </w:rPr>
        <w:t>高——软件必须实现的功能，用户有明确的功能定义和要求；</w:t>
      </w:r>
    </w:p>
    <w:p>
      <w:pPr>
        <w:numPr>
          <w:ilvl w:val="4"/>
          <w:numId w:val="3"/>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3"/>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6"/>
        <w:tblW w:w="98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453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144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新建用户</w:t>
            </w:r>
          </w:p>
        </w:tc>
        <w:tc>
          <w:tcPr>
            <w:tcW w:w="198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数据功能需求</w:t>
            </w:r>
          </w:p>
        </w:tc>
        <w:tc>
          <w:tcPr>
            <w:tcW w:w="978" w:type="dxa"/>
          </w:tcPr>
          <w:p>
            <w:pPr>
              <w:spacing w:line="360" w:lineRule="auto"/>
              <w:jc w:val="center"/>
              <w:rPr>
                <w:rFonts w:hint="default" w:ascii="宋体" w:eastAsia="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管理员创建用户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144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接收信息</w:t>
            </w:r>
          </w:p>
        </w:tc>
        <w:tc>
          <w:tcPr>
            <w:tcW w:w="1980" w:type="dxa"/>
            <w:vAlign w:val="center"/>
          </w:tcPr>
          <w:p>
            <w:pPr>
              <w:spacing w:line="360" w:lineRule="auto"/>
              <w:jc w:val="center"/>
              <w:rPr>
                <w:rFonts w:ascii="宋体"/>
                <w:sz w:val="24"/>
              </w:rPr>
            </w:pPr>
            <w:r>
              <w:rPr>
                <w:rFonts w:hint="eastAsia" w:ascii="宋体"/>
                <w:sz w:val="24"/>
                <w:lang w:val="en-US" w:eastAsia="zh-CN"/>
              </w:rPr>
              <w:t>数据功能需求</w:t>
            </w:r>
          </w:p>
        </w:tc>
        <w:tc>
          <w:tcPr>
            <w:tcW w:w="978"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输入维护井基本信息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修改信息</w:t>
            </w:r>
          </w:p>
        </w:tc>
        <w:tc>
          <w:tcPr>
            <w:tcW w:w="1980" w:type="dxa"/>
            <w:vAlign w:val="center"/>
          </w:tcPr>
          <w:p>
            <w:pPr>
              <w:spacing w:line="360" w:lineRule="auto"/>
              <w:jc w:val="center"/>
              <w:rPr>
                <w:rFonts w:ascii="宋体"/>
                <w:sz w:val="24"/>
              </w:rPr>
            </w:pPr>
            <w:r>
              <w:rPr>
                <w:rFonts w:hint="eastAsia" w:ascii="宋体"/>
                <w:sz w:val="24"/>
                <w:lang w:val="en-US" w:eastAsia="zh-CN"/>
              </w:rPr>
              <w:t>数据功能需求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提供增删改查功能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搜索筛选</w:t>
            </w:r>
          </w:p>
        </w:tc>
        <w:tc>
          <w:tcPr>
            <w:tcW w:w="198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对信息进行搜索和筛选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批量导入导出</w:t>
            </w:r>
          </w:p>
        </w:tc>
        <w:tc>
          <w:tcPr>
            <w:tcW w:w="1980" w:type="dxa"/>
            <w:vAlign w:val="center"/>
          </w:tcPr>
          <w:p>
            <w:pPr>
              <w:spacing w:line="360" w:lineRule="auto"/>
              <w:jc w:val="center"/>
              <w:rPr>
                <w:rFonts w:hint="eastAsia" w:ascii="宋体"/>
                <w:sz w:val="24"/>
                <w:lang w:val="en-US" w:eastAsia="zh-CN"/>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支持批量导入导出井信息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接收储存</w:t>
            </w:r>
          </w:p>
        </w:tc>
        <w:tc>
          <w:tcPr>
            <w:tcW w:w="1980" w:type="dxa"/>
            <w:vAlign w:val="center"/>
          </w:tcPr>
          <w:p>
            <w:pPr>
              <w:spacing w:line="360" w:lineRule="auto"/>
              <w:jc w:val="center"/>
              <w:rPr>
                <w:rFonts w:hint="eastAsia" w:ascii="宋体"/>
                <w:sz w:val="24"/>
                <w:lang w:val="en-US" w:eastAsia="zh-CN"/>
              </w:rPr>
            </w:pPr>
            <w:r>
              <w:rPr>
                <w:rFonts w:hint="eastAsia" w:ascii="宋体"/>
                <w:sz w:val="24"/>
                <w:lang w:val="en-US" w:eastAsia="zh-CN"/>
              </w:rPr>
              <w:t>数据功能需求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接受储存原始压裂作业数据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清洗数据</w:t>
            </w:r>
          </w:p>
        </w:tc>
        <w:tc>
          <w:tcPr>
            <w:tcW w:w="1980" w:type="dxa"/>
            <w:vAlign w:val="center"/>
          </w:tcPr>
          <w:p>
            <w:pPr>
              <w:spacing w:line="360" w:lineRule="auto"/>
              <w:jc w:val="center"/>
              <w:rPr>
                <w:rFonts w:hint="eastAsia" w:ascii="宋体"/>
                <w:sz w:val="24"/>
                <w:lang w:val="en-US" w:eastAsia="zh-CN"/>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归一化处理</w:t>
            </w:r>
          </w:p>
        </w:tc>
        <w:tc>
          <w:tcPr>
            <w:tcW w:w="1980" w:type="dxa"/>
            <w:vAlign w:val="center"/>
          </w:tcPr>
          <w:p>
            <w:pPr>
              <w:spacing w:line="360" w:lineRule="auto"/>
              <w:jc w:val="center"/>
              <w:rPr>
                <w:rFonts w:hint="eastAsia" w:ascii="宋体"/>
                <w:sz w:val="24"/>
                <w:lang w:val="en-US" w:eastAsia="zh-CN"/>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将不同量纲数据转换为统一尺度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特征工程</w:t>
            </w:r>
          </w:p>
        </w:tc>
        <w:tc>
          <w:tcPr>
            <w:tcW w:w="1980" w:type="dxa"/>
            <w:vAlign w:val="center"/>
          </w:tcPr>
          <w:p>
            <w:pPr>
              <w:spacing w:line="360" w:lineRule="auto"/>
              <w:jc w:val="center"/>
              <w:rPr>
                <w:rFonts w:hint="eastAsia" w:ascii="宋体"/>
                <w:sz w:val="24"/>
                <w:lang w:val="en-US" w:eastAsia="zh-CN"/>
              </w:rPr>
            </w:pPr>
            <w:r>
              <w:rPr>
                <w:rFonts w:hint="eastAsia" w:ascii="宋体"/>
                <w:sz w:val="24"/>
                <w:lang w:val="en-US" w:eastAsia="zh-CN"/>
              </w:rPr>
              <w:t>计算功能需求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低</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特征选择，构造和转换，增强模型的预测能力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监控界面</w:t>
            </w:r>
          </w:p>
        </w:tc>
        <w:tc>
          <w:tcPr>
            <w:tcW w:w="1980" w:type="dxa"/>
            <w:vAlign w:val="center"/>
          </w:tcPr>
          <w:p>
            <w:pPr>
              <w:spacing w:line="360" w:lineRule="auto"/>
              <w:jc w:val="center"/>
              <w:rPr>
                <w:rFonts w:hint="default" w:ascii="宋体"/>
                <w:sz w:val="24"/>
                <w:lang w:val="en-US" w:eastAsia="zh-CN"/>
              </w:rPr>
            </w:pPr>
            <w:r>
              <w:rPr>
                <w:rFonts w:hint="eastAsia" w:ascii="宋体"/>
                <w:sz w:val="24"/>
                <w:lang w:val="en-US" w:eastAsia="zh-CN"/>
              </w:rPr>
              <w:t>数据转化功能需求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展示实时接收到的数据流和关键指标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配置管理界面</w:t>
            </w:r>
          </w:p>
        </w:tc>
        <w:tc>
          <w:tcPr>
            <w:tcW w:w="1980" w:type="dxa"/>
            <w:vAlign w:val="center"/>
          </w:tcPr>
          <w:p>
            <w:pPr>
              <w:spacing w:line="360" w:lineRule="auto"/>
              <w:jc w:val="center"/>
              <w:rPr>
                <w:rFonts w:hint="default" w:ascii="宋体"/>
                <w:sz w:val="24"/>
                <w:lang w:val="en-US" w:eastAsia="zh-CN"/>
              </w:rPr>
            </w:pPr>
            <w:r>
              <w:rPr>
                <w:rFonts w:hint="eastAsia" w:ascii="宋体"/>
                <w:sz w:val="24"/>
                <w:lang w:val="en-US" w:eastAsia="zh-CN"/>
              </w:rPr>
              <w:t>系统调试功能需求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允许用户配置数据接受的相关参数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日志查看界面</w:t>
            </w:r>
          </w:p>
        </w:tc>
        <w:tc>
          <w:tcPr>
            <w:tcW w:w="1980" w:type="dxa"/>
            <w:vAlign w:val="center"/>
          </w:tcPr>
          <w:p>
            <w:pPr>
              <w:spacing w:line="360" w:lineRule="auto"/>
              <w:jc w:val="center"/>
              <w:rPr>
                <w:rFonts w:hint="default" w:ascii="宋体"/>
                <w:sz w:val="24"/>
                <w:lang w:val="en-US" w:eastAsia="zh-CN"/>
              </w:rPr>
            </w:pPr>
            <w:r>
              <w:rPr>
                <w:rFonts w:hint="eastAsia" w:ascii="宋体"/>
                <w:sz w:val="24"/>
                <w:lang w:val="en-US" w:eastAsia="zh-CN"/>
              </w:rPr>
              <w:t>检索功能需求</w:t>
            </w:r>
          </w:p>
        </w:tc>
        <w:tc>
          <w:tcPr>
            <w:tcW w:w="978" w:type="dxa"/>
          </w:tcPr>
          <w:p>
            <w:pPr>
              <w:spacing w:line="360" w:lineRule="auto"/>
              <w:jc w:val="center"/>
              <w:rPr>
                <w:rFonts w:hint="default" w:ascii="宋体"/>
                <w:sz w:val="24"/>
                <w:lang w:val="en-US" w:eastAsia="zh-CN"/>
              </w:rPr>
            </w:pPr>
            <w:r>
              <w:rPr>
                <w:rFonts w:hint="eastAsia" w:ascii="宋体"/>
                <w:sz w:val="24"/>
                <w:lang w:val="en-US" w:eastAsia="zh-CN"/>
              </w:rPr>
              <w:t>中</w:t>
            </w:r>
          </w:p>
        </w:tc>
        <w:tc>
          <w:tcPr>
            <w:tcW w:w="4538" w:type="dxa"/>
            <w:vAlign w:val="center"/>
          </w:tcPr>
          <w:p>
            <w:pPr>
              <w:spacing w:line="360" w:lineRule="auto"/>
              <w:jc w:val="center"/>
              <w:rPr>
                <w:rFonts w:hint="default" w:ascii="宋体"/>
                <w:sz w:val="24"/>
                <w:lang w:val="en-US" w:eastAsia="zh-CN"/>
              </w:rPr>
            </w:pPr>
            <w:r>
              <w:rPr>
                <w:rFonts w:hint="eastAsia" w:ascii="宋体"/>
                <w:sz w:val="24"/>
                <w:lang w:val="en-US" w:eastAsia="zh-CN"/>
              </w:rPr>
              <w:t>提供接受过程中的日志记录，方便问题排查</w:t>
            </w:r>
          </w:p>
        </w:tc>
      </w:tr>
    </w:tbl>
    <w:p>
      <w:pPr>
        <w:spacing w:line="360" w:lineRule="auto"/>
        <w:ind w:firstLine="425"/>
        <w:rPr>
          <w:rFonts w:ascii="宋体"/>
          <w:sz w:val="24"/>
        </w:rPr>
      </w:pPr>
    </w:p>
    <w:p>
      <w:pPr>
        <w:pStyle w:val="4"/>
      </w:pPr>
      <w:bookmarkStart w:id="10" w:name="_Toc18381298"/>
      <w:r>
        <w:rPr>
          <w:rFonts w:hint="eastAsia"/>
        </w:rPr>
        <w:t>用户的特点</w:t>
      </w:r>
      <w:bookmarkEnd w:id="10"/>
    </w:p>
    <w:p>
      <w:pPr>
        <w:pStyle w:val="3"/>
        <w:rPr>
          <w:rFonts w:hint="eastAsia"/>
          <w:lang w:val="en-US" w:eastAsia="zh-CN"/>
        </w:rPr>
      </w:pPr>
      <w:r>
        <w:rPr>
          <w:rFonts w:hint="eastAsia"/>
          <w:lang w:val="en-US" w:eastAsia="zh-CN"/>
        </w:rPr>
        <w:t>系统供给石油作业监测人员使用，系统管理员使用</w:t>
      </w:r>
    </w:p>
    <w:p>
      <w:pPr>
        <w:pStyle w:val="3"/>
        <w:rPr>
          <w:rFonts w:hint="eastAsia"/>
          <w:lang w:val="en-US" w:eastAsia="zh-CN"/>
        </w:rPr>
      </w:pPr>
      <w:r>
        <w:rPr>
          <w:rFonts w:hint="eastAsia"/>
          <w:lang w:val="en-US" w:eastAsia="zh-CN"/>
        </w:rPr>
        <w:t>一般情况下：石油作业监测人员：监测井下石油作业时使用</w:t>
      </w:r>
    </w:p>
    <w:p>
      <w:pPr>
        <w:pStyle w:val="3"/>
        <w:rPr>
          <w:rFonts w:hint="default"/>
          <w:lang w:val="en-US" w:eastAsia="zh-CN"/>
        </w:rPr>
      </w:pPr>
      <w:r>
        <w:rPr>
          <w:rFonts w:hint="eastAsia"/>
          <w:lang w:val="en-US" w:eastAsia="zh-CN"/>
        </w:rPr>
        <w:t>管理员：批量导入导出井信息时，储存信息时使用</w:t>
      </w:r>
    </w:p>
    <w:p>
      <w:pPr>
        <w:pStyle w:val="4"/>
      </w:pPr>
      <w:bookmarkStart w:id="11" w:name="_Toc18381299"/>
      <w:r>
        <w:rPr>
          <w:rFonts w:hint="eastAsia"/>
        </w:rPr>
        <w:t>限制与约束</w:t>
      </w:r>
      <w:bookmarkEnd w:id="11"/>
      <w:r>
        <w:rPr>
          <w:rFonts w:hint="eastAsia"/>
        </w:rPr>
        <w:t xml:space="preserve"> </w:t>
      </w:r>
    </w:p>
    <w:p>
      <w:pPr>
        <w:pStyle w:val="3"/>
      </w:pPr>
    </w:p>
    <w:p>
      <w:pPr>
        <w:rPr>
          <w:rFonts w:hint="default" w:eastAsia="宋体"/>
          <w:lang w:val="en-US" w:eastAsia="zh-CN"/>
        </w:rPr>
      </w:pPr>
      <w:r>
        <w:rPr>
          <w:rFonts w:hint="eastAsia"/>
          <w:lang w:val="en-US" w:eastAsia="zh-CN"/>
        </w:rPr>
        <w:t>本系统适用于石油工业相关领域，专业性较强，不适用于普通大众。</w:t>
      </w:r>
    </w:p>
    <w:p/>
    <w:p>
      <w:pPr>
        <w:pStyle w:val="2"/>
      </w:pPr>
      <w:bookmarkStart w:id="12" w:name="_Toc18381300"/>
      <w:r>
        <w:rPr>
          <w:rFonts w:hint="eastAsia"/>
        </w:rPr>
        <w:t>具体需求</w:t>
      </w:r>
      <w:bookmarkEnd w:id="12"/>
    </w:p>
    <w:p>
      <w:pPr>
        <w:pStyle w:val="4"/>
      </w:pPr>
      <w:bookmarkStart w:id="13" w:name="_Toc18381301"/>
      <w:r>
        <w:rPr>
          <w:rFonts w:hint="eastAsia"/>
        </w:rPr>
        <w:t>功能需求</w:t>
      </w:r>
      <w:bookmarkEnd w:id="13"/>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新建用户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管理员创建用户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各种用户信息包括（编号字符串，名称字符串，单位字符串，用户等级字符串，工作地址字符串，联系方式字符串......）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eastAsia="zh-CN"/>
              </w:rPr>
            </w:pPr>
            <w:r>
              <w:rPr>
                <w:rFonts w:hint="eastAsia"/>
                <w:sz w:val="24"/>
                <w:lang w:val="en-US" w:eastAsia="zh-CN"/>
              </w:rPr>
              <w:t>处理结果：用户信息存入数据库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数据库更新日志，创建成功失败的反馈（字符串），下一步的引导（字符串）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宋体"/>
                <w:color w:val="FF0000"/>
                <w:sz w:val="24"/>
                <w:lang w:val="en-US" w:eastAsia="zh-CN"/>
              </w:rPr>
            </w:pPr>
            <w:r>
              <w:rPr>
                <w:rFonts w:hint="eastAsia"/>
                <w:sz w:val="24"/>
                <w:lang w:val="en-US" w:eastAsia="zh-CN"/>
              </w:rPr>
              <w:t>创建界面清晰，有指向性的用户指南。图画简洁大气，支持多语言</w:t>
            </w:r>
          </w:p>
        </w:tc>
      </w:tr>
    </w:tbl>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输入维护井基本信息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维护井编号（字符串），维护井信息（字符串），验证密钥（字符串）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处理结果：验证用户身份，数据处理形成具体维护井信息存入数据库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接收和创建维护井成功或失败的反馈（字符串），下一步的引导（字符串），数据库更新日志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宋体"/>
                <w:color w:val="FF0000"/>
                <w:sz w:val="24"/>
                <w:lang w:val="en-US" w:eastAsia="zh-CN"/>
              </w:rPr>
            </w:pPr>
            <w:r>
              <w:rPr>
                <w:rFonts w:hint="eastAsia"/>
                <w:sz w:val="24"/>
                <w:lang w:val="en-US" w:eastAsia="zh-CN"/>
              </w:rPr>
              <w:t>简洁清晰的用户交互界面，用户指南，语言切换</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提供增删改查功能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修改编号对应增删改查（字符），修改（查询）内容（字符串），管理员密钥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rPr>
            </w:pPr>
            <w:r>
              <w:rPr>
                <w:rFonts w:hint="eastAsia"/>
                <w:sz w:val="24"/>
                <w:lang w:val="en-US" w:eastAsia="zh-CN"/>
              </w:rPr>
              <w:t>处理结果：调用对应修改函数进行修改，并将修改信息上传数据库进行同步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修改结果和修改部分的展示（字符串），数据库更新日志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搜索筛选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对信息进行搜索和筛选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搜索项，搜索方式，筛选策略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字符处理将搜索指令转入数据库，将数据库的反馈输出处理后打印搜索结果和跳转键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ascii="宋体"/>
                <w:sz w:val="24"/>
                <w:lang w:val="en-US" w:eastAsia="zh-CN"/>
              </w:rPr>
              <w:t>搜索结果，跳转界面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批量导入导出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支持批量导入导出井信息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任务编号（字符数组），导入导出数据项（字符串）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sz w:val="24"/>
                <w:lang w:val="en-US" w:eastAsia="zh-CN"/>
              </w:rPr>
            </w:pPr>
            <w:r>
              <w:rPr>
                <w:rFonts w:hint="eastAsia"/>
                <w:sz w:val="24"/>
                <w:lang w:val="en-US" w:eastAsia="zh-CN"/>
              </w:rPr>
              <w:t>识别处理导入导出编号和导入导出数据项，从数据库导入导出指定内容并打印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导入导出结果和导入导出信息内容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简洁清晰的用户交互界面，用户指南，语言切换，详尽的结果展示</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接收储存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接受储存原始压裂作业数据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数据集（字符数组），管理员密钥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CN"/>
              </w:rPr>
            </w:pPr>
            <w:r>
              <w:rPr>
                <w:rFonts w:hint="eastAsia"/>
                <w:sz w:val="24"/>
                <w:lang w:val="en-US" w:eastAsia="zh-CN"/>
              </w:rPr>
              <w:t>异常检测：1.输入不符合数据类型2.关键输入项为空3.非法字符和数据</w:t>
            </w:r>
          </w:p>
          <w:p>
            <w:pPr>
              <w:jc w:val="both"/>
              <w:rPr>
                <w:rFonts w:hint="default" w:eastAsia="宋体"/>
                <w:sz w:val="24"/>
                <w:lang w:val="en-US" w:eastAsia="zh-CN"/>
              </w:rPr>
            </w:pPr>
            <w:r>
              <w:rPr>
                <w:rFonts w:hint="eastAsia"/>
                <w:sz w:val="24"/>
                <w:lang w:val="en-US" w:eastAsia="zh-CN"/>
              </w:rPr>
              <w:t>处理数据集并输入数据库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储存结果，数据库更新日志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无</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清洗数据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清洗指令和清洗项，管理员密钥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依函数对单项/多项/全部项数据进行清洗处理</w:t>
            </w:r>
            <w:r>
              <w:rPr>
                <w:rFonts w:hint="eastAsia" w:ascii="宋体"/>
                <w:sz w:val="24"/>
                <w:lang w:val="en-US" w:eastAsia="zh-CN"/>
              </w:rPr>
              <w:t>处理缺失值和异常值，提高数据质量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清洗结果和清洗后数据变化和对比，数据库更新日志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无</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归一化处理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将不同量纲数据转换为统一尺度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CN"/>
              </w:rPr>
            </w:pPr>
            <w:r>
              <w:rPr>
                <w:rFonts w:hint="eastAsia"/>
                <w:sz w:val="24"/>
                <w:lang w:val="en-US" w:eastAsia="zh-CN"/>
              </w:rPr>
              <w:t>指令，管理员密钥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sz w:val="24"/>
                <w:lang w:val="en-US"/>
              </w:rPr>
            </w:pPr>
            <w:r>
              <w:rPr>
                <w:rFonts w:hint="eastAsia" w:ascii="宋体"/>
                <w:sz w:val="24"/>
                <w:lang w:val="en-US" w:eastAsia="zh-CN"/>
              </w:rPr>
              <w:t>识别数据库内各项单位（按字符搜索），将不同的单位数据依照归一函数中的规则将不同量纲数据转换为统一尺度并更新数据库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归一化结果，数据变化和对比，数据库更新日志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CN"/>
              </w:rPr>
            </w:pPr>
            <w:r>
              <w:rPr>
                <w:rFonts w:hint="eastAsia" w:ascii="宋体"/>
                <w:sz w:val="24"/>
                <w:lang w:val="en-US" w:eastAsia="zh-CN"/>
              </w:rPr>
              <w:t>无</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特征工程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特征选择，构造和转换，增强模型的预测能力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特征选择编号，构造方式，转换方式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接受指令进行特征工程任务，进行模型构造和预测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特征工程处理后的模型展示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color w:val="FF0000"/>
                <w:sz w:val="24"/>
                <w:lang w:val="en-US"/>
              </w:rPr>
            </w:pPr>
            <w:r>
              <w:rPr>
                <w:rFonts w:hint="eastAsia"/>
                <w:sz w:val="24"/>
                <w:lang w:val="en-US" w:eastAsia="zh-CN"/>
              </w:rPr>
              <w:t>详尽的结果展示</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监控界面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展示实时接收到的数据流和关键指标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数据接收，数据计算转化和可视化处理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各种简洁的数据图（折线图，散点图，柱状图......）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详细及时的可视化数据图展示</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配置管理界面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允许用户配置数据接受的相关参数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配置项，配置参数，管理员密钥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sz w:val="24"/>
                <w:lang w:val="en-US"/>
              </w:rPr>
            </w:pPr>
            <w:r>
              <w:rPr>
                <w:rFonts w:hint="eastAsia" w:ascii="宋体"/>
                <w:sz w:val="24"/>
                <w:lang w:val="en-US" w:eastAsia="zh-CN"/>
              </w:rPr>
              <w:t>配置数据接受的相关参数，更新数据库并进行清洗和归一化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ascii="宋体"/>
                <w:sz w:val="24"/>
                <w:lang w:val="en-US" w:eastAsia="zh-CN"/>
              </w:rPr>
              <w:t>配置结果，配置影响，数据库更新日志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简洁清晰的用户交互界面</w:t>
            </w:r>
          </w:p>
        </w:tc>
      </w:tr>
    </w:tbl>
    <w:p>
      <w:pPr>
        <w:spacing w:line="360" w:lineRule="auto"/>
        <w:ind w:left="425"/>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ascii="宋体"/>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ascii="宋体"/>
                <w:sz w:val="24"/>
                <w:lang w:val="en-US" w:eastAsia="zh-CN"/>
              </w:rPr>
              <w:t>日志查看界面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sz w:val="24"/>
                <w:lang w:val="en-US" w:eastAsia="zh-CN"/>
              </w:rPr>
              <w:t>提供接受过程中的日志记录，方便问题排查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日志查看指令，管理员密钥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调用各日志并打印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color w:val="FF0000"/>
                <w:sz w:val="24"/>
                <w:lang w:val="en-US"/>
              </w:rPr>
            </w:pPr>
            <w:r>
              <w:rPr>
                <w:rFonts w:hint="eastAsia"/>
                <w:sz w:val="24"/>
                <w:lang w:val="en-US" w:eastAsia="zh-CN"/>
              </w:rPr>
              <w:t>详细的日志及说明</w:t>
            </w:r>
          </w:p>
        </w:tc>
      </w:tr>
    </w:tbl>
    <w:p>
      <w:pPr>
        <w:spacing w:line="360" w:lineRule="auto"/>
        <w:rPr>
          <w:i/>
          <w:iCs/>
          <w:color w:val="0000FF"/>
        </w:rPr>
      </w:pPr>
    </w:p>
    <w:p>
      <w:pPr>
        <w:spacing w:line="360" w:lineRule="auto"/>
        <w:rPr>
          <w:i/>
          <w:iCs/>
          <w:color w:val="0000FF"/>
        </w:rPr>
      </w:pPr>
    </w:p>
    <w:p>
      <w:pPr>
        <w:pStyle w:val="4"/>
      </w:pPr>
      <w:bookmarkStart w:id="14" w:name="_Toc18381302"/>
      <w:r>
        <w:rPr>
          <w:rFonts w:hint="eastAsia"/>
        </w:rPr>
        <w:t>性能需求</w:t>
      </w:r>
      <w:bookmarkEnd w:id="14"/>
    </w:p>
    <w:p>
      <w:pPr>
        <w:jc w:val="both"/>
        <w:rPr>
          <w:rFonts w:hint="eastAsia"/>
          <w:sz w:val="24"/>
          <w:lang w:val="en-US" w:eastAsia="zh-CN"/>
        </w:rPr>
      </w:pPr>
      <w:r>
        <w:rPr>
          <w:rFonts w:hint="eastAsia"/>
          <w:sz w:val="24"/>
          <w:lang w:val="en-US" w:eastAsia="zh-CN"/>
        </w:rPr>
        <w:t>支持的终端数不小于10000、支持并行操作的用户数不小于100000、处理的文件和记录数、表和文件的大小总计可容纳1000TB。</w:t>
      </w:r>
    </w:p>
    <w:p>
      <w:pPr>
        <w:jc w:val="both"/>
        <w:rPr>
          <w:rFonts w:hint="eastAsia"/>
          <w:sz w:val="24"/>
          <w:lang w:val="en-US" w:eastAsia="zh-CN"/>
        </w:rPr>
      </w:pPr>
      <w:r>
        <w:rPr>
          <w:rFonts w:hint="eastAsia"/>
          <w:sz w:val="24"/>
          <w:lang w:val="en-US" w:eastAsia="zh-CN"/>
        </w:rPr>
        <w:t>响应时间不大于1000ms、更新处理时间不大于1min、数据的转换和传送时间不大于500ms、运行时间支持连续运行180天等。</w:t>
      </w:r>
    </w:p>
    <w:p>
      <w:pPr>
        <w:pStyle w:val="3"/>
        <w:rPr>
          <w:rFonts w:hint="eastAsia" w:eastAsia="宋体"/>
          <w:lang w:val="en-US" w:eastAsia="zh-CN"/>
        </w:rPr>
      </w:pPr>
    </w:p>
    <w:p>
      <w:pPr>
        <w:pStyle w:val="4"/>
      </w:pPr>
      <w:bookmarkStart w:id="15" w:name="_Toc18381304"/>
      <w:r>
        <w:rPr>
          <w:rFonts w:hint="eastAsia"/>
        </w:rPr>
        <w:t>设计约束</w:t>
      </w:r>
      <w:bookmarkEnd w:id="15"/>
    </w:p>
    <w:p>
      <w:pPr>
        <w:pStyle w:val="5"/>
      </w:pPr>
      <w:bookmarkStart w:id="16" w:name="_Toc18381305"/>
      <w:r>
        <w:rPr>
          <w:rFonts w:hint="eastAsia"/>
        </w:rPr>
        <w:t>其他标准的约束</w:t>
      </w:r>
      <w:bookmarkEnd w:id="16"/>
    </w:p>
    <w:p>
      <w:pPr>
        <w:jc w:val="both"/>
        <w:rPr>
          <w:rFonts w:hint="default"/>
          <w:sz w:val="24"/>
          <w:lang w:val="en-US" w:eastAsia="zh-CN"/>
        </w:rPr>
      </w:pPr>
      <w:r>
        <w:rPr>
          <w:rFonts w:hint="eastAsia"/>
          <w:sz w:val="24"/>
          <w:lang w:val="en-US" w:eastAsia="zh-CN"/>
        </w:rPr>
        <w:t>报表格式：具备基本信息和制表人信息，制表日期</w:t>
      </w:r>
    </w:p>
    <w:p>
      <w:pPr>
        <w:jc w:val="both"/>
        <w:rPr>
          <w:rFonts w:hint="default"/>
          <w:sz w:val="24"/>
          <w:lang w:val="en-US" w:eastAsia="zh-CN"/>
        </w:rPr>
      </w:pPr>
      <w:r>
        <w:rPr>
          <w:rFonts w:hint="eastAsia"/>
          <w:sz w:val="24"/>
          <w:lang w:val="en-US" w:eastAsia="zh-CN"/>
        </w:rPr>
        <w:t>数据命名：暂未</w:t>
      </w:r>
    </w:p>
    <w:p>
      <w:pPr>
        <w:jc w:val="both"/>
        <w:rPr>
          <w:rFonts w:hint="default"/>
          <w:lang w:val="en-US"/>
        </w:rPr>
      </w:pPr>
      <w:r>
        <w:rPr>
          <w:rFonts w:hint="eastAsia"/>
          <w:sz w:val="24"/>
          <w:lang w:val="en-US" w:eastAsia="zh-CN"/>
        </w:rPr>
        <w:t>审计追踪：暂无</w:t>
      </w:r>
    </w:p>
    <w:p>
      <w:pPr>
        <w:pStyle w:val="5"/>
      </w:pPr>
      <w:bookmarkStart w:id="17" w:name="_Toc18381306"/>
      <w:r>
        <w:rPr>
          <w:rFonts w:hint="eastAsia"/>
        </w:rPr>
        <w:t>硬件约束</w:t>
      </w:r>
      <w:bookmarkEnd w:id="17"/>
    </w:p>
    <w:p>
      <w:pPr>
        <w:jc w:val="both"/>
        <w:rPr>
          <w:rFonts w:hint="default"/>
          <w:sz w:val="24"/>
          <w:lang w:val="en-US" w:eastAsia="zh-CN"/>
        </w:rPr>
      </w:pPr>
      <w:r>
        <w:rPr>
          <w:rFonts w:hint="eastAsia"/>
          <w:sz w:val="24"/>
          <w:lang w:val="en-US" w:eastAsia="zh-CN"/>
        </w:rPr>
        <w:t>硬件配置的特点：支持大量数据的存储，在数据流高峰可流畅处理，且至少保证20%的性能富余</w:t>
      </w:r>
    </w:p>
    <w:p>
      <w:pPr>
        <w:jc w:val="both"/>
        <w:rPr>
          <w:rFonts w:hint="default"/>
          <w:sz w:val="24"/>
          <w:lang w:val="en-US" w:eastAsia="zh-CN"/>
        </w:rPr>
      </w:pPr>
      <w:r>
        <w:rPr>
          <w:rFonts w:hint="eastAsia"/>
          <w:sz w:val="24"/>
          <w:lang w:val="en-US" w:eastAsia="zh-CN"/>
        </w:rPr>
        <w:t>内存储器和辅助存储器的容量：内存储器共计不小于1000TB，云数据库可保留至少360天内的全部数据备份</w:t>
      </w:r>
    </w:p>
    <w:p>
      <w:pPr>
        <w:pStyle w:val="3"/>
        <w:rPr>
          <w:rFonts w:hint="eastAsia"/>
          <w:i/>
          <w:iCs/>
          <w:color w:val="0000FF"/>
        </w:rPr>
      </w:pPr>
    </w:p>
    <w:p>
      <w:pPr>
        <w:pStyle w:val="4"/>
      </w:pPr>
      <w:r>
        <w:rPr>
          <w:rFonts w:hint="eastAsia"/>
        </w:rPr>
        <w:t>其它非功能性需求</w:t>
      </w:r>
    </w:p>
    <w:p>
      <w:pPr>
        <w:pStyle w:val="5"/>
      </w:pPr>
      <w:bookmarkStart w:id="18" w:name="_Toc18381308"/>
      <w:r>
        <w:rPr>
          <w:rFonts w:hint="eastAsia"/>
        </w:rPr>
        <w:t>可用性</w:t>
      </w:r>
      <w:bookmarkEnd w:id="18"/>
    </w:p>
    <w:p>
      <w:pPr>
        <w:jc w:val="both"/>
        <w:rPr>
          <w:rFonts w:hint="default"/>
          <w:sz w:val="24"/>
          <w:lang w:val="en-US" w:eastAsia="zh-CN"/>
        </w:rPr>
      </w:pPr>
      <w:r>
        <w:rPr>
          <w:rFonts w:hint="eastAsia"/>
          <w:sz w:val="24"/>
          <w:lang w:val="en-US" w:eastAsia="zh-CN"/>
        </w:rPr>
        <w:t>检查点：在3.1功能需求表格部分有说明</w:t>
      </w:r>
    </w:p>
    <w:p>
      <w:pPr>
        <w:jc w:val="both"/>
        <w:rPr>
          <w:rFonts w:hint="default"/>
          <w:sz w:val="24"/>
          <w:lang w:val="en-US" w:eastAsia="zh-CN"/>
        </w:rPr>
      </w:pPr>
      <w:r>
        <w:rPr>
          <w:rFonts w:hint="eastAsia"/>
          <w:sz w:val="24"/>
          <w:lang w:val="en-US" w:eastAsia="zh-CN"/>
        </w:rPr>
        <w:t>恢复方法：下载云端数据库备份</w:t>
      </w:r>
    </w:p>
    <w:p>
      <w:pPr>
        <w:jc w:val="both"/>
        <w:rPr>
          <w:rFonts w:hint="eastAsia"/>
          <w:sz w:val="24"/>
          <w:lang w:val="en-US" w:eastAsia="zh-CN"/>
        </w:rPr>
      </w:pPr>
      <w:r>
        <w:rPr>
          <w:rFonts w:hint="eastAsia"/>
          <w:sz w:val="24"/>
          <w:lang w:val="en-US" w:eastAsia="zh-CN"/>
        </w:rPr>
        <w:t>重启动性：在遭遇故障、错误、崩溃或其他异常情况下，能够自我恢复、重启或重新进入稳定运行状态</w:t>
      </w:r>
    </w:p>
    <w:p>
      <w:pPr>
        <w:pStyle w:val="5"/>
      </w:pPr>
      <w:bookmarkStart w:id="19" w:name="_Toc18381309"/>
      <w:r>
        <w:rPr>
          <w:rFonts w:hint="eastAsia"/>
        </w:rPr>
        <w:t>可靠性</w:t>
      </w:r>
      <w:bookmarkEnd w:id="19"/>
    </w:p>
    <w:p>
      <w:pPr>
        <w:pStyle w:val="3"/>
        <w:ind w:left="0" w:leftChars="0" w:firstLine="0" w:firstLineChars="0"/>
        <w:rPr>
          <w:rFonts w:hint="default" w:eastAsia="宋体"/>
          <w:lang w:val="en-US" w:eastAsia="zh-CN"/>
        </w:rPr>
      </w:pPr>
      <w:r>
        <w:rPr>
          <w:rFonts w:hint="eastAsia"/>
          <w:lang w:val="en-US" w:eastAsia="zh-CN"/>
        </w:rPr>
        <w:t>确保计算公式和数据处理函数的正确性，时刻上传数据到云端数据库，每天进行系统备份</w:t>
      </w:r>
    </w:p>
    <w:p>
      <w:pPr>
        <w:pStyle w:val="5"/>
      </w:pPr>
      <w:bookmarkStart w:id="20" w:name="_Toc18381310"/>
      <w:r>
        <w:rPr>
          <w:rFonts w:hint="eastAsia"/>
        </w:rPr>
        <w:t>效率</w:t>
      </w:r>
      <w:bookmarkEnd w:id="20"/>
    </w:p>
    <w:p>
      <w:pPr>
        <w:pStyle w:val="3"/>
        <w:ind w:left="0" w:leftChars="0" w:firstLine="0" w:firstLineChars="0"/>
        <w:rPr>
          <w:rFonts w:hint="default" w:eastAsia="宋体"/>
          <w:lang w:val="en-US" w:eastAsia="zh-CN"/>
        </w:rPr>
      </w:pPr>
      <w:r>
        <w:rPr>
          <w:rFonts w:hint="eastAsia"/>
          <w:lang w:val="en-US" w:eastAsia="zh-CN"/>
        </w:rPr>
        <w:t>在指定场景下，每井可在只配备一台设备的情况下完成全部计算预测记录展示等功能。每次任务后在1min完成全部数据处理反馈和上传。</w:t>
      </w:r>
    </w:p>
    <w:p>
      <w:pPr>
        <w:pStyle w:val="5"/>
      </w:pPr>
      <w:bookmarkStart w:id="21" w:name="_Toc18381311"/>
      <w:r>
        <w:rPr>
          <w:rFonts w:hint="eastAsia"/>
        </w:rPr>
        <w:t>安全性</w:t>
      </w:r>
      <w:bookmarkEnd w:id="21"/>
    </w:p>
    <w:p>
      <w:pPr>
        <w:pStyle w:val="3"/>
        <w:ind w:left="0" w:leftChars="0" w:firstLine="0" w:firstLineChars="0"/>
      </w:pPr>
      <w:r>
        <w:rPr>
          <w:rFonts w:hint="eastAsia"/>
          <w:lang w:val="en-US" w:eastAsia="zh-CN"/>
        </w:rPr>
        <w:t>保证数据库和密钥的安全性，严格限制非管理员用户功能，引入系统安全检测系统保证数据安全和用户权限。</w:t>
      </w:r>
    </w:p>
    <w:p>
      <w:pPr>
        <w:pStyle w:val="5"/>
      </w:pPr>
      <w:bookmarkStart w:id="22" w:name="_Toc18381312"/>
      <w:r>
        <w:rPr>
          <w:rFonts w:hint="eastAsia"/>
        </w:rPr>
        <w:t>可维护性</w:t>
      </w:r>
      <w:bookmarkEnd w:id="22"/>
    </w:p>
    <w:p>
      <w:pPr>
        <w:spacing w:line="360" w:lineRule="auto"/>
        <w:rPr>
          <w:rFonts w:hint="default" w:ascii="Arial" w:hAnsi="Arial" w:eastAsia="宋体" w:cs="Times New Roman"/>
          <w:snapToGrid w:val="0"/>
          <w:kern w:val="0"/>
          <w:sz w:val="20"/>
          <w:szCs w:val="20"/>
          <w:lang w:val="en-US" w:eastAsia="zh-CN" w:bidi="ar-SA"/>
        </w:rPr>
      </w:pPr>
      <w:r>
        <w:rPr>
          <w:rFonts w:hint="eastAsia" w:ascii="Arial" w:hAnsi="Arial" w:eastAsia="宋体" w:cs="Times New Roman"/>
          <w:snapToGrid w:val="0"/>
          <w:kern w:val="0"/>
          <w:sz w:val="20"/>
          <w:szCs w:val="20"/>
          <w:lang w:val="en-US" w:eastAsia="zh-CN" w:bidi="ar-SA"/>
        </w:rPr>
        <w:t>提供管理员维护和修改权限，提供简</w:t>
      </w:r>
      <w:r>
        <w:rPr>
          <w:rFonts w:hint="eastAsia" w:cs="Times New Roman"/>
          <w:snapToGrid w:val="0"/>
          <w:kern w:val="0"/>
          <w:sz w:val="20"/>
          <w:szCs w:val="20"/>
          <w:lang w:val="en-US" w:eastAsia="zh-CN" w:bidi="ar-SA"/>
        </w:rPr>
        <w:t>洁</w:t>
      </w:r>
      <w:r>
        <w:rPr>
          <w:rFonts w:hint="eastAsia" w:ascii="Arial" w:hAnsi="Arial" w:eastAsia="宋体" w:cs="Times New Roman"/>
          <w:snapToGrid w:val="0"/>
          <w:kern w:val="0"/>
          <w:sz w:val="20"/>
          <w:szCs w:val="20"/>
          <w:lang w:val="en-US" w:eastAsia="zh-CN" w:bidi="ar-SA"/>
        </w:rPr>
        <w:t>清晰的维护指令和详细的指令功能介绍，每台设备配备维护工程师进行线下维护</w:t>
      </w:r>
    </w:p>
    <w:p>
      <w:pPr>
        <w:pStyle w:val="5"/>
      </w:pPr>
      <w:bookmarkStart w:id="23" w:name="_Toc18381313"/>
      <w:r>
        <w:rPr>
          <w:rFonts w:hint="eastAsia"/>
        </w:rPr>
        <w:t>可移植性</w:t>
      </w:r>
      <w:bookmarkEnd w:id="23"/>
    </w:p>
    <w:p>
      <w:pPr>
        <w:spacing w:line="360" w:lineRule="auto"/>
        <w:rPr>
          <w:rFonts w:hint="default" w:ascii="宋体" w:eastAsia="宋体"/>
          <w:sz w:val="24"/>
          <w:lang w:val="en-US" w:eastAsia="zh-CN"/>
        </w:rPr>
      </w:pPr>
      <w:r>
        <w:rPr>
          <w:rFonts w:hint="eastAsia" w:ascii="宋体"/>
          <w:sz w:val="24"/>
          <w:lang w:val="en-US" w:eastAsia="zh-CN"/>
        </w:rPr>
        <w:t>适配主流的操作系统</w:t>
      </w:r>
    </w:p>
    <w:p>
      <w:pPr>
        <w:pStyle w:val="4"/>
      </w:pPr>
      <w:bookmarkStart w:id="24" w:name="_Toc18381314"/>
      <w:r>
        <w:rPr>
          <w:rFonts w:hint="eastAsia"/>
        </w:rPr>
        <w:t>外部接口需求</w:t>
      </w:r>
      <w:bookmarkEnd w:id="24"/>
    </w:p>
    <w:p>
      <w:pPr>
        <w:pStyle w:val="5"/>
      </w:pPr>
      <w:bookmarkStart w:id="25" w:name="_Toc18381315"/>
      <w:r>
        <w:rPr>
          <w:rFonts w:hint="eastAsia"/>
        </w:rPr>
        <w:t>用户接口</w:t>
      </w:r>
      <w:bookmarkEnd w:id="25"/>
    </w:p>
    <w:p>
      <w:pPr>
        <w:pStyle w:val="3"/>
        <w:rPr>
          <w:rFonts w:hint="default" w:eastAsia="宋体"/>
          <w:lang w:val="en-US" w:eastAsia="zh-CN"/>
        </w:rPr>
      </w:pPr>
      <w:r>
        <w:rPr>
          <w:rFonts w:hint="eastAsia"/>
          <w:lang w:val="en-US" w:eastAsia="zh-CN"/>
        </w:rPr>
        <w:t>普通用户和管理员用户公用同一主页面，为管理员用户开放管和维护功能的界面。</w:t>
      </w:r>
    </w:p>
    <w:p>
      <w:pPr>
        <w:pStyle w:val="5"/>
      </w:pPr>
      <w:bookmarkStart w:id="26" w:name="_Toc18381316"/>
      <w:r>
        <w:rPr>
          <w:rFonts w:hint="eastAsia"/>
        </w:rPr>
        <w:t>硬件接口</w:t>
      </w:r>
      <w:bookmarkEnd w:id="26"/>
    </w:p>
    <w:p>
      <w:pPr>
        <w:spacing w:line="360" w:lineRule="auto"/>
        <w:rPr>
          <w:rFonts w:hint="default" w:ascii="Arial" w:hAnsi="Arial" w:eastAsia="宋体" w:cs="Times New Roman"/>
          <w:snapToGrid w:val="0"/>
          <w:kern w:val="0"/>
          <w:sz w:val="20"/>
          <w:szCs w:val="20"/>
          <w:lang w:val="en-US" w:eastAsia="zh-CN" w:bidi="ar-SA"/>
        </w:rPr>
      </w:pPr>
      <w:r>
        <w:rPr>
          <w:rFonts w:hint="eastAsia" w:ascii="Arial" w:hAnsi="Arial" w:eastAsia="宋体" w:cs="Times New Roman"/>
          <w:snapToGrid w:val="0"/>
          <w:kern w:val="0"/>
          <w:sz w:val="20"/>
          <w:szCs w:val="20"/>
          <w:lang w:val="en-US" w:eastAsia="zh-CN" w:bidi="ar-SA"/>
        </w:rPr>
        <w:t>通信接口</w:t>
      </w:r>
      <w:r>
        <w:rPr>
          <w:rFonts w:hint="default" w:ascii="Arial" w:hAnsi="Arial" w:eastAsia="宋体" w:cs="Times New Roman"/>
          <w:snapToGrid w:val="0"/>
          <w:kern w:val="0"/>
          <w:sz w:val="20"/>
          <w:szCs w:val="20"/>
          <w:lang w:val="en-US" w:eastAsia="zh-CN" w:bidi="ar-SA"/>
        </w:rPr>
        <w:t>：配备多种通信接口，以实现与上位机、控制系统或其他设备的通信。包括USB接口（USB Device、USB Host、TYPE-C）、网口、RS232接口（串口）、GPIB接口等。用于数据传输、远程控制、设备配置等功能。</w:t>
      </w:r>
    </w:p>
    <w:p>
      <w:pPr>
        <w:spacing w:line="360" w:lineRule="auto"/>
        <w:rPr>
          <w:rFonts w:hint="default" w:ascii="Arial" w:hAnsi="Arial" w:eastAsia="宋体" w:cs="Times New Roman"/>
          <w:snapToGrid w:val="0"/>
          <w:kern w:val="0"/>
          <w:sz w:val="20"/>
          <w:szCs w:val="20"/>
          <w:lang w:val="en-US" w:eastAsia="zh-CN" w:bidi="ar-SA"/>
        </w:rPr>
      </w:pPr>
    </w:p>
    <w:p>
      <w:pPr>
        <w:spacing w:line="360" w:lineRule="auto"/>
        <w:rPr>
          <w:rFonts w:hint="default" w:ascii="Arial" w:hAnsi="Arial" w:eastAsia="宋体" w:cs="Times New Roman"/>
          <w:snapToGrid w:val="0"/>
          <w:kern w:val="0"/>
          <w:sz w:val="20"/>
          <w:szCs w:val="20"/>
          <w:lang w:val="en-US" w:eastAsia="zh-CN" w:bidi="ar-SA"/>
        </w:rPr>
      </w:pPr>
      <w:r>
        <w:rPr>
          <w:rFonts w:hint="default" w:ascii="Arial" w:hAnsi="Arial" w:eastAsia="宋体" w:cs="Times New Roman"/>
          <w:snapToGrid w:val="0"/>
          <w:kern w:val="0"/>
          <w:sz w:val="20"/>
          <w:szCs w:val="20"/>
          <w:lang w:val="en-US" w:eastAsia="zh-CN" w:bidi="ar-SA"/>
        </w:rPr>
        <w:t>显示接口：配备VGA、DVI、HDMI、DP等显示接口，用于连接显示器或投影仪等设备。</w:t>
      </w:r>
    </w:p>
    <w:p>
      <w:pPr>
        <w:spacing w:line="360" w:lineRule="auto"/>
        <w:rPr>
          <w:rFonts w:hint="default" w:ascii="Arial" w:hAnsi="Arial" w:eastAsia="宋体" w:cs="Times New Roman"/>
          <w:snapToGrid w:val="0"/>
          <w:kern w:val="0"/>
          <w:sz w:val="20"/>
          <w:szCs w:val="20"/>
          <w:lang w:val="en-US" w:eastAsia="zh-CN" w:bidi="ar-SA"/>
        </w:rPr>
      </w:pPr>
      <w:r>
        <w:rPr>
          <w:rFonts w:hint="default" w:ascii="Arial" w:hAnsi="Arial" w:eastAsia="宋体" w:cs="Times New Roman"/>
          <w:snapToGrid w:val="0"/>
          <w:kern w:val="0"/>
          <w:sz w:val="20"/>
          <w:szCs w:val="20"/>
          <w:lang w:val="en-US" w:eastAsia="zh-CN" w:bidi="ar-SA"/>
        </w:rPr>
        <w:t>电源接口：用于连接外部电源，为仪器提供电能。具体的接口类型、尺寸和电压要求因设备而异。</w:t>
      </w:r>
    </w:p>
    <w:p>
      <w:pPr>
        <w:spacing w:line="360" w:lineRule="auto"/>
        <w:rPr>
          <w:rFonts w:hint="default" w:ascii="Arial" w:hAnsi="Arial" w:eastAsia="宋体" w:cs="Times New Roman"/>
          <w:snapToGrid w:val="0"/>
          <w:kern w:val="0"/>
          <w:sz w:val="20"/>
          <w:szCs w:val="20"/>
          <w:lang w:val="en-US" w:eastAsia="zh-CN" w:bidi="ar-SA"/>
        </w:rPr>
      </w:pPr>
      <w:r>
        <w:rPr>
          <w:rFonts w:hint="default" w:ascii="Arial" w:hAnsi="Arial" w:eastAsia="宋体" w:cs="Times New Roman"/>
          <w:snapToGrid w:val="0"/>
          <w:kern w:val="0"/>
          <w:sz w:val="20"/>
          <w:szCs w:val="20"/>
          <w:lang w:val="en-US" w:eastAsia="zh-CN" w:bidi="ar-SA"/>
        </w:rPr>
        <w:t>其他接口：外部控制接口、信号输入输出接口、扩展槽等。</w:t>
      </w:r>
    </w:p>
    <w:p>
      <w:pPr>
        <w:pStyle w:val="3"/>
        <w:rPr>
          <w:rFonts w:hint="default" w:eastAsia="宋体"/>
          <w:lang w:val="en-US" w:eastAsia="zh-CN"/>
        </w:rPr>
      </w:pPr>
    </w:p>
    <w:p>
      <w:pPr>
        <w:pStyle w:val="5"/>
      </w:pPr>
      <w:bookmarkStart w:id="27" w:name="_Toc18381317"/>
      <w:r>
        <w:rPr>
          <w:rFonts w:hint="eastAsia"/>
        </w:rPr>
        <w:t>软件接口</w:t>
      </w:r>
      <w:bookmarkEnd w:id="27"/>
    </w:p>
    <w:p>
      <w:pPr>
        <w:pStyle w:val="3"/>
        <w:rPr>
          <w:rFonts w:hint="default" w:ascii="Arial" w:hAnsi="Arial" w:eastAsia="宋体" w:cs="Times New Roman"/>
          <w:snapToGrid w:val="0"/>
          <w:kern w:val="0"/>
          <w:sz w:val="20"/>
          <w:szCs w:val="20"/>
          <w:lang w:val="en-US" w:eastAsia="zh-CN" w:bidi="ar-SA"/>
        </w:rPr>
      </w:pPr>
      <w:r>
        <w:rPr>
          <w:rFonts w:hint="eastAsia" w:ascii="Arial" w:hAnsi="Arial" w:eastAsia="宋体" w:cs="Times New Roman"/>
          <w:snapToGrid w:val="0"/>
          <w:kern w:val="0"/>
          <w:sz w:val="20"/>
          <w:szCs w:val="20"/>
          <w:lang w:val="en-US" w:eastAsia="zh-CN" w:bidi="ar-SA"/>
        </w:rPr>
        <w:t>Api</w:t>
      </w:r>
      <w:r>
        <w:rPr>
          <w:rFonts w:hint="default" w:ascii="Arial" w:hAnsi="Arial" w:eastAsia="宋体" w:cs="Times New Roman"/>
          <w:snapToGrid w:val="0"/>
          <w:kern w:val="0"/>
          <w:sz w:val="20"/>
          <w:szCs w:val="20"/>
          <w:lang w:val="en-US" w:eastAsia="zh-CN" w:bidi="ar-SA"/>
        </w:rPr>
        <w:t>通过抽象为用户屏蔽实现上的细节和复杂性。</w:t>
      </w:r>
      <w:r>
        <w:rPr>
          <w:rFonts w:hint="eastAsia" w:ascii="Arial" w:hAnsi="Arial" w:eastAsia="宋体" w:cs="Times New Roman"/>
          <w:snapToGrid w:val="0"/>
          <w:kern w:val="0"/>
          <w:sz w:val="20"/>
          <w:szCs w:val="20"/>
          <w:lang w:val="en-US" w:eastAsia="zh-CN" w:bidi="ar-SA"/>
        </w:rPr>
        <w:t>,webservice</w:t>
      </w:r>
      <w:r>
        <w:rPr>
          <w:rFonts w:hint="default" w:ascii="Arial" w:hAnsi="Arial" w:eastAsia="宋体" w:cs="Times New Roman"/>
          <w:snapToGrid w:val="0"/>
          <w:kern w:val="0"/>
          <w:sz w:val="20"/>
          <w:szCs w:val="20"/>
          <w:lang w:val="en-US" w:eastAsia="zh-CN" w:bidi="ar-SA"/>
        </w:rPr>
        <w:t>走soap协议通过http传输，</w:t>
      </w:r>
      <w:r>
        <w:rPr>
          <w:rFonts w:hint="eastAsia" w:ascii="Arial" w:hAnsi="Arial" w:eastAsia="宋体" w:cs="Times New Roman"/>
          <w:snapToGrid w:val="0"/>
          <w:kern w:val="0"/>
          <w:sz w:val="20"/>
          <w:szCs w:val="20"/>
          <w:lang w:val="en-US" w:eastAsia="zh-CN" w:bidi="ar-SA"/>
        </w:rPr>
        <w:t>返回</w:t>
      </w:r>
      <w:r>
        <w:rPr>
          <w:rFonts w:hint="default" w:ascii="Arial" w:hAnsi="Arial" w:eastAsia="宋体" w:cs="Times New Roman"/>
          <w:snapToGrid w:val="0"/>
          <w:kern w:val="0"/>
          <w:sz w:val="20"/>
          <w:szCs w:val="20"/>
          <w:lang w:val="en-US" w:eastAsia="zh-CN" w:bidi="ar-SA"/>
        </w:rPr>
        <w:t>xml格式的请求报文和返回报文。</w:t>
      </w:r>
      <w:r>
        <w:rPr>
          <w:rFonts w:hint="eastAsia" w:ascii="Arial" w:hAnsi="Arial" w:eastAsia="宋体" w:cs="Times New Roman"/>
          <w:snapToGrid w:val="0"/>
          <w:kern w:val="0"/>
          <w:sz w:val="20"/>
          <w:szCs w:val="20"/>
          <w:lang w:val="en-US" w:eastAsia="zh-CN" w:bidi="ar-SA"/>
        </w:rPr>
        <w:t>,http api</w:t>
      </w:r>
      <w:r>
        <w:rPr>
          <w:rFonts w:hint="default" w:ascii="Arial" w:hAnsi="Arial" w:eastAsia="宋体" w:cs="Times New Roman"/>
          <w:snapToGrid w:val="0"/>
          <w:kern w:val="0"/>
          <w:sz w:val="20"/>
          <w:szCs w:val="20"/>
          <w:lang w:val="en-US" w:eastAsia="zh-CN" w:bidi="ar-SA"/>
        </w:rPr>
        <w:t>走http协议，通过路径来区分调用的方法，key-value形式的请求报文，json串返回报文。</w:t>
      </w:r>
    </w:p>
    <w:p>
      <w:pPr>
        <w:pStyle w:val="5"/>
        <w:rPr>
          <w:rFonts w:hint="default"/>
          <w:lang w:val="en-US" w:eastAsia="zh-CN"/>
        </w:rPr>
      </w:pPr>
      <w:bookmarkStart w:id="28" w:name="_Toc18381318"/>
      <w:r>
        <w:rPr>
          <w:rFonts w:hint="eastAsia"/>
          <w:lang w:val="en-US" w:eastAsia="zh-CN"/>
        </w:rPr>
        <w:t>通信接口</w:t>
      </w:r>
      <w:bookmarkEnd w:id="28"/>
    </w:p>
    <w:p>
      <w:pPr>
        <w:widowControl/>
        <w:spacing w:line="240" w:lineRule="auto"/>
        <w:rPr>
          <w:i/>
          <w:iCs/>
          <w:color w:val="0000FF"/>
        </w:rPr>
      </w:pPr>
      <w:r>
        <w:rPr>
          <w:rFonts w:hint="default" w:ascii="Arial" w:hAnsi="Arial" w:eastAsia="宋体" w:cs="Times New Roman"/>
          <w:snapToGrid w:val="0"/>
          <w:kern w:val="0"/>
          <w:sz w:val="20"/>
          <w:szCs w:val="20"/>
          <w:lang w:val="en-US" w:eastAsia="zh-CN" w:bidi="ar-SA"/>
        </w:rPr>
        <w:t>配备多种通信接口，以实现与上位机、控制系统或其他设备的通信。包括USB接口（USB Device、USB Host、TYPE-C）、网口、RS232接口（串口）、GPIB接口等。用于数据传输、远程控制、设备配置等功能。</w:t>
      </w:r>
      <w:r>
        <w:rPr>
          <w:i/>
          <w:iCs/>
          <w:color w:val="0000FF"/>
        </w:rPr>
        <w:br w:type="page"/>
      </w:r>
    </w:p>
    <w:p>
      <w:pPr>
        <w:pStyle w:val="2"/>
        <w:numPr>
          <w:ilvl w:val="0"/>
          <w:numId w:val="0"/>
        </w:numPr>
      </w:pPr>
      <w:r>
        <w:rPr>
          <w:rFonts w:hint="eastAsia"/>
        </w:rPr>
        <w:t>附录 功能模型</w:t>
      </w:r>
    </w:p>
    <w:p>
      <w:r>
        <w:rPr>
          <w:rFonts w:hint="eastAsia"/>
        </w:rPr>
        <w:t>一、数据流图</w:t>
      </w:r>
    </w:p>
    <w:p>
      <w:pPr>
        <w:pStyle w:val="34"/>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5273040" cy="1645920"/>
            <wp:effectExtent l="0" t="0" r="3810" b="11430"/>
            <wp:docPr id="2" name="图片 2" descr="（参考）数据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参考）数据处理流程"/>
                    <pic:cNvPicPr>
                      <a:picLocks noChangeAspect="1"/>
                    </pic:cNvPicPr>
                  </pic:nvPicPr>
                  <pic:blipFill>
                    <a:blip r:embed="rId8"/>
                    <a:stretch>
                      <a:fillRect/>
                    </a:stretch>
                  </pic:blipFill>
                  <pic:spPr>
                    <a:xfrm>
                      <a:off x="0" y="0"/>
                      <a:ext cx="5273040" cy="1645920"/>
                    </a:xfrm>
                    <a:prstGeom prst="rect">
                      <a:avLst/>
                    </a:prstGeom>
                  </pic:spPr>
                </pic:pic>
              </a:graphicData>
            </a:graphic>
          </wp:inline>
        </w:drawing>
      </w:r>
    </w:p>
    <w:p>
      <w:r>
        <w:rPr>
          <w:rFonts w:hint="eastAsia"/>
        </w:rPr>
        <w:t>二、数据字典</w:t>
      </w:r>
    </w:p>
    <w:p>
      <w:pPr>
        <w:rPr>
          <w:iCs/>
          <w:color w:val="0000FF"/>
        </w:rPr>
      </w:pPr>
      <w:r>
        <w:rPr>
          <w:rFonts w:hint="eastAsia"/>
        </w:rPr>
        <w:t>1、数据流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时间，井编号，深度，实时压力值</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井压力作业仪器接口</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历史数据，特征工程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时间，井编号，深度，实时压力值</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数据收集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相关系数法，数据预处理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p>
      <w:pPr>
        <w:rPr>
          <w:i/>
        </w:rPr>
      </w:pPr>
      <w:r>
        <w:rPr>
          <w:rFonts w:hint="eastAsia"/>
        </w:rPr>
        <w:t>2、加工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特征，实时数据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特征工程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数据填充，模型建构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建构出模型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归一化后的新数据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数据预处理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优化架构出的模型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模型和数据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模型建构</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模型训练过程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模型和数据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个性化调参，模型优化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结果分析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结果分析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分析训练后的结果并进行反馈</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训练后的模型</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模型训练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无</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rPr>
          <w:i/>
        </w:rPr>
      </w:pPr>
      <w:r>
        <w:rPr>
          <w:rFonts w:hint="eastAsia"/>
        </w:rPr>
        <w:t>3、文件（存储）</w:t>
      </w:r>
    </w:p>
    <w:p>
      <w:pPr>
        <w:rPr>
          <w:rFonts w:hint="eastAsia"/>
        </w:rPr>
      </w:pP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文件存储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将整个数据流的关键信息进行存储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分析结果，训练后的模型，处理后的数据</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数据流主干</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数据库</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cs="宋体"/>
                <w:snapToGrid/>
                <w:color w:val="000000"/>
                <w:sz w:val="22"/>
                <w:szCs w:val="22"/>
                <w:lang w:eastAsia="zh-CN"/>
              </w:rPr>
            </w:pPr>
            <w:r>
              <w:rPr>
                <w:rFonts w:hint="eastAsia" w:ascii="宋体" w:hAnsi="宋体" w:cs="宋体"/>
                <w:snapToGrid/>
                <w:color w:val="000000"/>
                <w:sz w:val="22"/>
                <w:szCs w:val="22"/>
                <w:lang w:val="en-US" w:eastAsia="zh-CN"/>
              </w:rPr>
              <w:t>无</w:t>
            </w:r>
          </w:p>
        </w:tc>
      </w:tr>
    </w:tbl>
    <w:p>
      <w:pPr>
        <w:spacing w:line="360" w:lineRule="auto"/>
        <w:ind w:left="425"/>
        <w:rPr>
          <w:iCs/>
          <w:color w:val="0000FF"/>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7060C"/>
    <w:multiLevelType w:val="singleLevel"/>
    <w:tmpl w:val="D0C7060C"/>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mNGZjMDljYjRhOTQzY2Y3N2FkZWMxNzA2ODU1YTQifQ=="/>
    <w:docVar w:name="KSO_WPS_MARK_KEY" w:val="c72c2f7f-7b67-44ea-b2ba-189edf383e7e"/>
  </w:docVars>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084A5DB4"/>
    <w:rsid w:val="10044381"/>
    <w:rsid w:val="14B07445"/>
    <w:rsid w:val="182515C5"/>
    <w:rsid w:val="3B156458"/>
    <w:rsid w:val="3C026891"/>
    <w:rsid w:val="46B3744D"/>
    <w:rsid w:val="56301712"/>
    <w:rsid w:val="5A4A67C2"/>
    <w:rsid w:val="5E9E4BC1"/>
    <w:rsid w:val="600B64C5"/>
    <w:rsid w:val="6EEF52FC"/>
    <w:rsid w:val="6FC47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4756</Words>
  <Characters>5073</Characters>
  <Lines>22</Lines>
  <Paragraphs>6</Paragraphs>
  <TotalTime>3</TotalTime>
  <ScaleCrop>false</ScaleCrop>
  <LinksUpToDate>false</LinksUpToDate>
  <CharactersWithSpaces>5131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Ethan.</cp:lastModifiedBy>
  <dcterms:modified xsi:type="dcterms:W3CDTF">2024-06-21T15:07:43Z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0FFEA912C55C4DFDBED455554F8B6534_12</vt:lpwstr>
  </property>
</Properties>
</file>