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b/>
                <w:sz w:val="18"/>
                <w:szCs w:val="18"/>
              </w:rPr>
              <w:t xml:space="preserve">Mr. S. Lingaiah (Guide, Asst. Professor)</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tc>
        <w:tc>
          <w:tcPr>
            <w:tcW w:w="2500" w:type="dxa"/>
          </w:tcPr>
          <w:p>
            <w:pPr>
              <w:jc w:val="center"/>
              <w:spacing w:after="0"/>
            </w:pPr>
            <w:r>
              <w:rPr>
                <w:b/>
                <w:sz w:val="18"/>
                <w:szCs w:val="18"/>
              </w:rPr>
              <w:t xml:space="preserve">Adigarla Yuva Teja</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yuvateja976@gmail.com</w:t>
            </w:r>
          </w:p>
        </w:tc>
        <w:tc>
          <w:tcPr>
            <w:tcW w:w="2500" w:type="dxa"/>
          </w:tcPr>
          <w:p>
            <w:pPr>
              <w:jc w:val="center"/>
              <w:spacing w:after="0"/>
            </w:pPr>
            <w:r>
              <w:rPr>
                <w:b/>
                <w:sz w:val="18"/>
                <w:szCs w:val="18"/>
              </w:rPr>
              <w:t xml:space="preserve">Akhil Vankudoth</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akhilvankudoth58@gmail.com</w:t>
            </w:r>
          </w:p>
        </w:tc>
        <w:tc>
          <w:tcPr>
            <w:tcW w:w="2500" w:type="dxa"/>
          </w:tcPr>
          <w:p>
            <w:pPr>
              <w:jc w:val="center"/>
              <w:spacing w:after="0"/>
            </w:pPr>
            <w:r>
              <w:rPr>
                <w:b/>
                <w:sz w:val="18"/>
                <w:szCs w:val="18"/>
              </w:rPr>
              <w:t xml:space="preserve">Adiserla Praneel</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praneeladiserla@gmail.com</w:t>
            </w:r>
          </w:p>
        </w:tc>
      </w:tr>
    </w:tbl>
    <w:p>
      <w:pPr>
        <w:jc w:val="center"/>
        <w:spacing w:after="120" w:line="230" w:lineRule="auto"/>
      </w:pPr>
      <w:r>
        <w:rPr>
          <w:sz w:val="12"/>
          <w:szCs w:val="12"/>
        </w:rPr>
        <w:t xml:space="preserve"/>
      </w:r>
    </w:p>
    <w:p>
      <w:pPr>
        <w:sectPr>
          <w:type w:val="continuous"/>
          <w:pgSz w:w="11906" w:h="16838"/>
          <w:pgMar w:top="1000" w:right="850" w:bottom="1000" w:left="850"/>
          <w:cols w:num="1"/>
        </w:sectPr>
      </w:pPr>
    </w:p>
    <w:p>
      <w:pPr>
        <w:jc w:val="both"/>
        <w:spacing w:after="80" w:line="230" w:lineRule="auto"/>
      </w:pPr>
      <w:r>
        <w:rPr>
          <w:b/>
          <w:i/>
          <w:sz w:val="19"/>
          <w:szCs w:val="19"/>
        </w:rPr>
        <w:t xml:space="preserve">Abstract— </w:t>
      </w:r>
      <w:r>
        <w:rPr>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b/>
          <w:i/>
          <w:sz w:val="19"/>
          <w:szCs w:val="19"/>
        </w:rPr>
        <w:t xml:space="preserve">Keywords— </w:t>
      </w:r>
      <w:r>
        <w:rPr>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b/>
          <w:sz w:val="20"/>
          <w:szCs w:val="20"/>
        </w:rPr>
        <w:t xml:space="preserve">I. INTRODUCTION</w:t>
      </w:r>
    </w:p>
    <w:p>
      <w:pPr>
        <w:jc w:val="both"/>
        <w:ind w:firstLine="170"/>
        <w:spacing w:after="80" w:line="230" w:lineRule="auto"/>
      </w:pPr>
      <w:r>
        <w:rPr>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b/>
          <w:sz w:val="20"/>
          <w:szCs w:val="20"/>
        </w:rPr>
        <w:t xml:space="preserve">II. LITERATURE REVIEW</w:t>
      </w:r>
    </w:p>
    <w:p>
      <w:pPr>
        <w:jc w:val="both"/>
        <w:ind w:firstLine="170"/>
        <w:spacing w:after="80" w:line="230" w:lineRule="auto"/>
      </w:pPr>
      <w:r>
        <w:rPr>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b/>
          <w:i/>
          <w:sz w:val="19"/>
          <w:szCs w:val="19"/>
        </w:rPr>
        <w:t xml:space="preserve">A. Foundational Retrieval-Augmented Generation</w:t>
      </w:r>
    </w:p>
    <w:p>
      <w:pPr>
        <w:jc w:val="both"/>
        <w:ind w:firstLine="170"/>
        <w:spacing w:after="80" w:line="230" w:lineRule="auto"/>
      </w:pPr>
      <w:r>
        <w:rPr>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b/>
          <w:i/>
          <w:sz w:val="19"/>
          <w:szCs w:val="19"/>
        </w:rPr>
        <w:t xml:space="preserve">B. Faithfulness and Automated Evaluation of RAG</w:t>
      </w:r>
    </w:p>
    <w:p>
      <w:pPr>
        <w:jc w:val="both"/>
        <w:ind w:firstLine="170"/>
        <w:spacing w:after="80" w:line="230" w:lineRule="auto"/>
      </w:pPr>
      <w:r>
        <w:rPr>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b/>
          <w:i/>
          <w:sz w:val="19"/>
          <w:szCs w:val="19"/>
        </w:rPr>
        <w:t xml:space="preserve">C. Retrieval-Augmented Reasoning</w:t>
      </w:r>
    </w:p>
    <w:p>
      <w:pPr>
        <w:jc w:val="both"/>
        <w:ind w:firstLine="170"/>
        <w:spacing w:after="80" w:line="230" w:lineRule="auto"/>
      </w:pPr>
      <w:r>
        <w:rPr>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b/>
          <w:i/>
          <w:sz w:val="19"/>
          <w:szCs w:val="19"/>
        </w:rPr>
        <w:t xml:space="preserve">D. Multilingual and Cross-Lingual Retrieval</w:t>
      </w:r>
    </w:p>
    <w:p>
      <w:pPr>
        <w:jc w:val="both"/>
        <w:ind w:firstLine="170"/>
        <w:spacing w:after="80" w:line="230" w:lineRule="auto"/>
      </w:pPr>
      <w:r>
        <w:rPr>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b/>
          <w:i/>
          <w:sz w:val="19"/>
          <w:szCs w:val="19"/>
        </w:rPr>
        <w:t xml:space="preserve">E. Dense Retrieval and Domain Adaptation</w:t>
      </w:r>
    </w:p>
    <w:p>
      <w:pPr>
        <w:jc w:val="both"/>
        <w:ind w:firstLine="170"/>
        <w:spacing w:after="80" w:line="230" w:lineRule="auto"/>
      </w:pPr>
      <w:r>
        <w:rPr>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b/>
          <w:i/>
          <w:sz w:val="19"/>
          <w:szCs w:val="19"/>
        </w:rPr>
        <w:t xml:space="preserve">F. LLMs for Interpretive Support in Digital Government</w:t>
      </w:r>
    </w:p>
    <w:p>
      <w:pPr>
        <w:jc w:val="both"/>
        <w:ind w:firstLine="170"/>
        <w:spacing w:after="80" w:line="230" w:lineRule="auto"/>
      </w:pPr>
      <w:r>
        <w:rPr>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b/>
          <w:i/>
          <w:sz w:val="19"/>
          <w:szCs w:val="19"/>
        </w:rPr>
        <w:t xml:space="preserve">G. Synthesis Across the Strands</w:t>
      </w:r>
    </w:p>
    <w:p>
      <w:pPr>
        <w:jc w:val="both"/>
        <w:ind w:firstLine="170"/>
        <w:spacing w:after="80" w:line="230" w:lineRule="auto"/>
      </w:pPr>
      <w:r>
        <w:rPr>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b/>
          <w:i/>
          <w:sz w:val="19"/>
          <w:szCs w:val="19"/>
        </w:rPr>
        <w:t xml:space="preserve">H. Summary of the Literature Survey</w:t>
      </w:r>
    </w:p>
    <w:p>
      <w:pPr>
        <w:jc w:val="both"/>
        <w:ind w:firstLine="170"/>
        <w:spacing w:after="80" w:line="230" w:lineRule="auto"/>
      </w:pPr>
      <w:r>
        <w:rPr>
          <w:sz w:val="19"/>
          <w:szCs w:val="19"/>
        </w:rPr>
        <w:t xml:space="preserve">Table I consolidates the primary studies reviewed, their objectives, outcomes, and limitations, and provides the evidential basis for the research gaps identified in Section III.</w:t>
      </w:r>
    </w:p>
    <w:p>
      <w:pPr>
        <w:jc w:val="center"/>
        <w:spacing w:after="40" w:line="230" w:lineRule="auto"/>
      </w:pPr>
      <w:r>
        <w:rPr>
          <w:b/>
          <w:sz w:val="16"/>
          <w:szCs w:val="16"/>
        </w:rPr>
        <w:t xml:space="preserve">Table I.  Summary of Reviewed Literature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2600"/>
        <w:gridCol w:w="2000"/>
        <w:gridCol w:w="2000"/>
        <w:gridCol w:w="2000"/>
      </w:tblGrid>
      <w:tr>
        <w:tc>
          <w:tcPr>
            <w:tcW w:w="400" w:type="dxa"/>
            <w:shd w:val="clear" w:fill="D9D9D9"/>
          </w:tcPr>
          <w:p>
            <w:pPr>
              <w:spacing w:after="0" w:line="200" w:lineRule="auto"/>
            </w:pPr>
            <w:r>
              <w:rPr>
                <w:b/>
                <w:sz w:val="15"/>
                <w:szCs w:val="15"/>
              </w:rPr>
              <w:t xml:space="preserve">#</w:t>
            </w:r>
          </w:p>
        </w:tc>
        <w:tc>
          <w:tcPr>
            <w:tcW w:w="2600" w:type="dxa"/>
            <w:shd w:val="clear" w:fill="D9D9D9"/>
          </w:tcPr>
          <w:p>
            <w:pPr>
              <w:spacing w:after="0" w:line="200" w:lineRule="auto"/>
            </w:pPr>
            <w:r>
              <w:rPr>
                <w:b/>
                <w:sz w:val="15"/>
                <w:szCs w:val="15"/>
              </w:rPr>
              <w:t xml:space="preserve">Title (Year)</w:t>
            </w:r>
          </w:p>
        </w:tc>
        <w:tc>
          <w:tcPr>
            <w:tcW w:w="2000" w:type="dxa"/>
            <w:shd w:val="clear" w:fill="D9D9D9"/>
          </w:tcPr>
          <w:p>
            <w:pPr>
              <w:spacing w:after="0" w:line="200" w:lineRule="auto"/>
            </w:pPr>
            <w:r>
              <w:rPr>
                <w:b/>
                <w:sz w:val="15"/>
                <w:szCs w:val="15"/>
              </w:rPr>
              <w:t xml:space="preserve">Objective</w:t>
            </w:r>
          </w:p>
        </w:tc>
        <w:tc>
          <w:tcPr>
            <w:tcW w:w="2000" w:type="dxa"/>
            <w:shd w:val="clear" w:fill="D9D9D9"/>
          </w:tcPr>
          <w:p>
            <w:pPr>
              <w:spacing w:after="0" w:line="200" w:lineRule="auto"/>
            </w:pPr>
            <w:r>
              <w:rPr>
                <w:b/>
                <w:sz w:val="15"/>
                <w:szCs w:val="15"/>
              </w:rPr>
              <w:t xml:space="preserve">Outcome</w:t>
            </w:r>
          </w:p>
        </w:tc>
        <w:tc>
          <w:tcPr>
            <w:tcW w:w="2000" w:type="dxa"/>
            <w:shd w:val="clear" w:fill="D9D9D9"/>
          </w:tcPr>
          <w:p>
            <w:pPr>
              <w:spacing w:after="0" w:line="200" w:lineRule="auto"/>
            </w:pPr>
            <w:r>
              <w:rPr>
                <w:b/>
                <w:sz w:val="15"/>
                <w:szCs w:val="15"/>
              </w:rPr>
              <w:t xml:space="preserve">Limitations</w:t>
            </w:r>
          </w:p>
        </w:tc>
      </w:tr>
      <w:tr>
        <w:tc>
          <w:tcPr>
            <w:tcW w:w="400" w:type="dxa"/>
          </w:tcPr>
          <w:p>
            <w:pPr>
              <w:spacing w:after="0" w:line="200" w:lineRule="auto"/>
            </w:pPr>
            <w:r>
              <w:rPr>
                <w:sz w:val="15"/>
                <w:szCs w:val="15"/>
              </w:rPr>
              <w:t xml:space="preserve">1</w:t>
            </w:r>
          </w:p>
        </w:tc>
        <w:tc>
          <w:tcPr>
            <w:tcW w:w="2600" w:type="dxa"/>
          </w:tcPr>
          <w:p>
            <w:pPr>
              <w:spacing w:after="0" w:line="200" w:lineRule="auto"/>
            </w:pPr>
            <w:r>
              <w:rPr>
                <w:sz w:val="15"/>
                <w:szCs w:val="15"/>
              </w:rPr>
              <w:t xml:space="preserve">LLMs for Interpretive Support in Digital Government Service Systems: A Systematic Review (2026) </w:t>
            </w:r>
          </w:p>
        </w:tc>
        <w:tc>
          <w:tcPr>
            <w:tcW w:w="2000" w:type="dxa"/>
          </w:tcPr>
          <w:p>
            <w:pPr>
              <w:spacing w:after="0" w:line="200" w:lineRule="auto"/>
            </w:pPr>
            <w:r>
              <w:rPr>
                <w:sz w:val="15"/>
                <w:szCs w:val="15"/>
              </w:rPr>
              <w:t xml:space="preserve">Reviews 60 studies on LLM use in digital government—rule explanation, service navigation, issue interpretation, administrative knowledge support.</w:t>
            </w:r>
          </w:p>
        </w:tc>
        <w:tc>
          <w:tcPr>
            <w:tcW w:w="2000" w:type="dxa"/>
          </w:tcPr>
          <w:p>
            <w:pPr>
              <w:spacing w:after="0" w:line="200" w:lineRule="auto"/>
            </w:pPr>
            <w:r>
              <w:rPr>
                <w:sz w:val="15"/>
                <w:szCs w:val="15"/>
              </w:rPr>
              <w:t xml:space="preserve">Finds a shift from Q&amp;A toward service navigation and interpretive support; stronger evidence for efficiency, responsiveness, accessibility.</w:t>
            </w:r>
          </w:p>
        </w:tc>
        <w:tc>
          <w:tcPr>
            <w:tcW w:w="2000" w:type="dxa"/>
          </w:tcPr>
          <w:p>
            <w:pPr>
              <w:spacing w:after="0" w:line="200" w:lineRule="auto"/>
            </w:pPr>
            <w:r>
              <w:rPr>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sz w:val="15"/>
                <w:szCs w:val="15"/>
              </w:rPr>
              <w:t xml:space="preserve">2</w:t>
            </w:r>
          </w:p>
        </w:tc>
        <w:tc>
          <w:tcPr>
            <w:tcW w:w="2600" w:type="dxa"/>
          </w:tcPr>
          <w:p>
            <w:pPr>
              <w:spacing w:after="0" w:line="200" w:lineRule="auto"/>
            </w:pPr>
            <w:r>
              <w:rPr>
                <w:sz w:val="15"/>
                <w:szCs w:val="15"/>
              </w:rPr>
              <w:t xml:space="preserve">On the Consistency of Multilingual Context Utilization in RAG (2025) </w:t>
            </w:r>
          </w:p>
        </w:tc>
        <w:tc>
          <w:tcPr>
            <w:tcW w:w="2000" w:type="dxa"/>
          </w:tcPr>
          <w:p>
            <w:pPr>
              <w:spacing w:after="0" w:line="200" w:lineRule="auto"/>
            </w:pPr>
            <w:r>
              <w:rPr>
                <w:sz w:val="15"/>
                <w:szCs w:val="15"/>
              </w:rPr>
              <w:t xml:space="preserve">Studies how consistently RAG uses retrieved multilingual context across languages.</w:t>
            </w:r>
          </w:p>
        </w:tc>
        <w:tc>
          <w:tcPr>
            <w:tcW w:w="2000" w:type="dxa"/>
          </w:tcPr>
          <w:p>
            <w:pPr>
              <w:spacing w:after="0" w:line="200" w:lineRule="auto"/>
            </w:pPr>
            <w:r>
              <w:rPr>
                <w:sz w:val="15"/>
                <w:szCs w:val="15"/>
              </w:rPr>
              <w:t xml:space="preserve">Shows multilingual context can be used inconsistently, affecting answer stability.</w:t>
            </w:r>
          </w:p>
        </w:tc>
        <w:tc>
          <w:tcPr>
            <w:tcW w:w="2000" w:type="dxa"/>
          </w:tcPr>
          <w:p>
            <w:pPr>
              <w:spacing w:after="0" w:line="200" w:lineRule="auto"/>
            </w:pPr>
            <w:r>
              <w:rPr>
                <w:sz w:val="15"/>
                <w:szCs w:val="15"/>
              </w:rPr>
              <w:t xml:space="preserve">Retrieved content may differ across languages, introducing cross-lingual inconsistency.</w:t>
            </w:r>
          </w:p>
        </w:tc>
      </w:tr>
      <w:tr>
        <w:tc>
          <w:tcPr>
            <w:tcW w:w="400" w:type="dxa"/>
          </w:tcPr>
          <w:p>
            <w:pPr>
              <w:spacing w:after="0" w:line="200" w:lineRule="auto"/>
            </w:pPr>
            <w:r>
              <w:rPr>
                <w:sz w:val="15"/>
                <w:szCs w:val="15"/>
              </w:rPr>
              <w:t xml:space="preserve">3</w:t>
            </w:r>
          </w:p>
        </w:tc>
        <w:tc>
          <w:tcPr>
            <w:tcW w:w="2600" w:type="dxa"/>
          </w:tcPr>
          <w:p>
            <w:pPr>
              <w:spacing w:after="0" w:line="200" w:lineRule="auto"/>
            </w:pPr>
            <w:r>
              <w:rPr>
                <w:sz w:val="15"/>
                <w:szCs w:val="15"/>
              </w:rPr>
              <w:t xml:space="preserve">A Survey of RAG-Reasoning Systems in LLMs (2025) </w:t>
            </w:r>
          </w:p>
        </w:tc>
        <w:tc>
          <w:tcPr>
            <w:tcW w:w="2000" w:type="dxa"/>
          </w:tcPr>
          <w:p>
            <w:pPr>
              <w:spacing w:after="0" w:line="200" w:lineRule="auto"/>
            </w:pPr>
            <w:r>
              <w:rPr>
                <w:sz w:val="15"/>
                <w:szCs w:val="15"/>
              </w:rPr>
              <w:t xml:space="preserve">Surveys reasoning-enhanced RAG and iterative search-and-thought frameworks.</w:t>
            </w:r>
          </w:p>
        </w:tc>
        <w:tc>
          <w:tcPr>
            <w:tcW w:w="2000" w:type="dxa"/>
          </w:tcPr>
          <w:p>
            <w:pPr>
              <w:spacing w:after="0" w:line="200" w:lineRule="auto"/>
            </w:pPr>
            <w:r>
              <w:rPr>
                <w:sz w:val="15"/>
                <w:szCs w:val="15"/>
              </w:rPr>
              <w:t xml:space="preserve">Combining retrieval with multi-step reasoning improves knowledge-intensive, complex inference.</w:t>
            </w:r>
          </w:p>
        </w:tc>
        <w:tc>
          <w:tcPr>
            <w:tcW w:w="2000" w:type="dxa"/>
          </w:tcPr>
          <w:p>
            <w:pPr>
              <w:spacing w:after="0" w:line="200" w:lineRule="auto"/>
            </w:pPr>
            <w:r>
              <w:rPr>
                <w:sz w:val="15"/>
                <w:szCs w:val="15"/>
              </w:rPr>
              <w:t xml:space="preserve">More complex; adds retrieval and inference cost.</w:t>
            </w:r>
          </w:p>
        </w:tc>
      </w:tr>
      <w:tr>
        <w:tc>
          <w:tcPr>
            <w:tcW w:w="400" w:type="dxa"/>
          </w:tcPr>
          <w:p>
            <w:pPr>
              <w:spacing w:after="0" w:line="200" w:lineRule="auto"/>
            </w:pPr>
            <w:r>
              <w:rPr>
                <w:sz w:val="15"/>
                <w:szCs w:val="15"/>
              </w:rPr>
              <w:t xml:space="preserve">4</w:t>
            </w:r>
          </w:p>
        </w:tc>
        <w:tc>
          <w:tcPr>
            <w:tcW w:w="2600" w:type="dxa"/>
          </w:tcPr>
          <w:p>
            <w:pPr>
              <w:spacing w:after="0" w:line="200" w:lineRule="auto"/>
            </w:pPr>
            <w:r>
              <w:rPr>
                <w:sz w:val="15"/>
                <w:szCs w:val="15"/>
              </w:rPr>
              <w:t xml:space="preserve">Generate but Verify: Answering with Faithfulness in RAG-based QA (2025) </w:t>
            </w:r>
          </w:p>
        </w:tc>
        <w:tc>
          <w:tcPr>
            <w:tcW w:w="2000" w:type="dxa"/>
          </w:tcPr>
          <w:p>
            <w:pPr>
              <w:spacing w:after="0" w:line="200" w:lineRule="auto"/>
            </w:pPr>
            <w:r>
              <w:rPr>
                <w:sz w:val="15"/>
                <w:szCs w:val="15"/>
              </w:rPr>
              <w:t xml:space="preserve">Introduces Answering with Faithfulness (AwF) to check if answers are supported by retrieved passages.</w:t>
            </w:r>
          </w:p>
        </w:tc>
        <w:tc>
          <w:tcPr>
            <w:tcW w:w="2000" w:type="dxa"/>
          </w:tcPr>
          <w:p>
            <w:pPr>
              <w:spacing w:after="0" w:line="200" w:lineRule="auto"/>
            </w:pPr>
            <w:r>
              <w:rPr>
                <w:sz w:val="15"/>
                <w:szCs w:val="15"/>
              </w:rPr>
              <w:t xml:space="preserve">Better faithfulness evaluation improves RAG performance and enables fallback strategies.</w:t>
            </w:r>
          </w:p>
        </w:tc>
        <w:tc>
          <w:tcPr>
            <w:tcW w:w="2000" w:type="dxa"/>
          </w:tcPr>
          <w:p>
            <w:pPr>
              <w:spacing w:after="0" w:line="200" w:lineRule="auto"/>
            </w:pPr>
            <w:r>
              <w:rPr>
                <w:sz w:val="15"/>
                <w:szCs w:val="15"/>
              </w:rPr>
              <w:t xml:space="preserve">Adds a verification stage; still depends on retrieved-evidence quality.</w:t>
            </w:r>
          </w:p>
        </w:tc>
      </w:tr>
      <w:tr>
        <w:tc>
          <w:tcPr>
            <w:tcW w:w="400" w:type="dxa"/>
          </w:tcPr>
          <w:p>
            <w:pPr>
              <w:spacing w:after="0" w:line="200" w:lineRule="auto"/>
            </w:pPr>
            <w:r>
              <w:rPr>
                <w:sz w:val="15"/>
                <w:szCs w:val="15"/>
              </w:rPr>
              <w:t xml:space="preserve">5</w:t>
            </w:r>
          </w:p>
        </w:tc>
        <w:tc>
          <w:tcPr>
            <w:tcW w:w="2600" w:type="dxa"/>
          </w:tcPr>
          <w:p>
            <w:pPr>
              <w:spacing w:after="0" w:line="200" w:lineRule="auto"/>
            </w:pPr>
            <w:r>
              <w:rPr>
                <w:sz w:val="15"/>
                <w:szCs w:val="15"/>
              </w:rPr>
              <w:t xml:space="preserve">Multilingual RAG for Knowledge-Intensive QA (2026) </w:t>
            </w:r>
          </w:p>
        </w:tc>
        <w:tc>
          <w:tcPr>
            <w:tcW w:w="2000" w:type="dxa"/>
          </w:tcPr>
          <w:p>
            <w:pPr>
              <w:spacing w:after="0" w:line="200" w:lineRule="auto"/>
            </w:pPr>
            <w:r>
              <w:rPr>
                <w:sz w:val="15"/>
                <w:szCs w:val="15"/>
              </w:rPr>
              <w:t xml:space="preserve">Compares question-translation RAG vs. direct multilingual retrieval.</w:t>
            </w:r>
          </w:p>
        </w:tc>
        <w:tc>
          <w:tcPr>
            <w:tcW w:w="2000" w:type="dxa"/>
          </w:tcPr>
          <w:p>
            <w:pPr>
              <w:spacing w:after="0" w:line="200" w:lineRule="auto"/>
            </w:pPr>
            <w:r>
              <w:rPr>
                <w:sz w:val="15"/>
                <w:szCs w:val="15"/>
              </w:rPr>
              <w:t xml:space="preserve">Direct multilingual retrieval improves coverage and efficiency.</w:t>
            </w:r>
          </w:p>
        </w:tc>
        <w:tc>
          <w:tcPr>
            <w:tcW w:w="2000" w:type="dxa"/>
          </w:tcPr>
          <w:p>
            <w:pPr>
              <w:spacing w:after="0" w:line="200" w:lineRule="auto"/>
            </w:pPr>
            <w:r>
              <w:rPr>
                <w:sz w:val="15"/>
                <w:szCs w:val="15"/>
              </w:rPr>
              <w:t xml:space="preserve">Translation-based retrieval may suffer coverage limitations; cross-lingual inconsistency.</w:t>
            </w:r>
          </w:p>
        </w:tc>
      </w:tr>
      <w:tr>
        <w:tc>
          <w:tcPr>
            <w:tcW w:w="400" w:type="dxa"/>
          </w:tcPr>
          <w:p>
            <w:pPr>
              <w:spacing w:after="0" w:line="200" w:lineRule="auto"/>
            </w:pPr>
            <w:r>
              <w:rPr>
                <w:sz w:val="15"/>
                <w:szCs w:val="15"/>
              </w:rPr>
              <w:t xml:space="preserve">6</w:t>
            </w:r>
          </w:p>
        </w:tc>
        <w:tc>
          <w:tcPr>
            <w:tcW w:w="2600" w:type="dxa"/>
          </w:tcPr>
          <w:p>
            <w:pPr>
              <w:spacing w:after="0" w:line="200" w:lineRule="auto"/>
            </w:pPr>
            <w:r>
              <w:rPr>
                <w:sz w:val="15"/>
                <w:szCs w:val="15"/>
              </w:rPr>
              <w:t xml:space="preserve">RAFT: Adapting Language Model to Domain-Specific RAG (2024) </w:t>
            </w:r>
          </w:p>
        </w:tc>
        <w:tc>
          <w:tcPr>
            <w:tcW w:w="2000" w:type="dxa"/>
          </w:tcPr>
          <w:p>
            <w:pPr>
              <w:spacing w:after="0" w:line="200" w:lineRule="auto"/>
            </w:pPr>
            <w:r>
              <w:rPr>
                <w:sz w:val="15"/>
                <w:szCs w:val="15"/>
              </w:rPr>
              <w:t xml:space="preserve">Retrieval-augmented fine-tuning so the LLM focuses on useful docs and ignores distractors.</w:t>
            </w:r>
          </w:p>
        </w:tc>
        <w:tc>
          <w:tcPr>
            <w:tcW w:w="2000" w:type="dxa"/>
          </w:tcPr>
          <w:p>
            <w:pPr>
              <w:spacing w:after="0" w:line="200" w:lineRule="auto"/>
            </w:pPr>
            <w:r>
              <w:rPr>
                <w:sz w:val="15"/>
                <w:szCs w:val="15"/>
              </w:rPr>
              <w:t xml:space="preserve">Consistently improved in-domain RAG (PubMed, HotpotQA, Gorilla).</w:t>
            </w:r>
          </w:p>
        </w:tc>
        <w:tc>
          <w:tcPr>
            <w:tcW w:w="2000" w:type="dxa"/>
          </w:tcPr>
          <w:p>
            <w:pPr>
              <w:spacing w:after="0" w:line="200" w:lineRule="auto"/>
            </w:pPr>
            <w:r>
              <w:rPr>
                <w:sz w:val="15"/>
                <w:szCs w:val="15"/>
              </w:rPr>
              <w:t xml:space="preserve">Needs domain-specific training data and compute; hard for a changing policy corpus.</w:t>
            </w:r>
          </w:p>
        </w:tc>
      </w:tr>
      <w:tr>
        <w:tc>
          <w:tcPr>
            <w:tcW w:w="400" w:type="dxa"/>
          </w:tcPr>
          <w:p>
            <w:pPr>
              <w:spacing w:after="0" w:line="200" w:lineRule="auto"/>
            </w:pPr>
            <w:r>
              <w:rPr>
                <w:sz w:val="15"/>
                <w:szCs w:val="15"/>
              </w:rPr>
              <w:t xml:space="preserve">7</w:t>
            </w:r>
          </w:p>
        </w:tc>
        <w:tc>
          <w:tcPr>
            <w:tcW w:w="2600" w:type="dxa"/>
          </w:tcPr>
          <w:p>
            <w:pPr>
              <w:spacing w:after="0" w:line="200" w:lineRule="auto"/>
            </w:pPr>
            <w:r>
              <w:rPr>
                <w:sz w:val="15"/>
                <w:szCs w:val="15"/>
              </w:rPr>
              <w:t xml:space="preserve">RAGAs: Automated Evaluation of RAG (2024) </w:t>
            </w:r>
          </w:p>
        </w:tc>
        <w:tc>
          <w:tcPr>
            <w:tcW w:w="2000" w:type="dxa"/>
          </w:tcPr>
          <w:p>
            <w:pPr>
              <w:spacing w:after="0" w:line="200" w:lineRule="auto"/>
            </w:pPr>
            <w:r>
              <w:rPr>
                <w:sz w:val="15"/>
                <w:szCs w:val="15"/>
              </w:rPr>
              <w:t xml:space="preserve">Reference-free metrics for retrieval relevance, faithfulness, generation quality.</w:t>
            </w:r>
          </w:p>
        </w:tc>
        <w:tc>
          <w:tcPr>
            <w:tcW w:w="2000" w:type="dxa"/>
          </w:tcPr>
          <w:p>
            <w:pPr>
              <w:spacing w:after="0" w:line="200" w:lineRule="auto"/>
            </w:pPr>
            <w:r>
              <w:rPr>
                <w:sz w:val="15"/>
                <w:szCs w:val="15"/>
              </w:rPr>
              <w:t xml:space="preserve">Evaluates RAG without manual ground truth per query.</w:t>
            </w:r>
          </w:p>
        </w:tc>
        <w:tc>
          <w:tcPr>
            <w:tcW w:w="2000" w:type="dxa"/>
          </w:tcPr>
          <w:p>
            <w:pPr>
              <w:spacing w:after="0" w:line="200" w:lineRule="auto"/>
            </w:pPr>
            <w:r>
              <w:rPr>
                <w:sz w:val="15"/>
                <w:szCs w:val="15"/>
              </w:rPr>
              <w:t xml:space="preserve">Metrics rely on model judgments; may miss correctness of legal/policy decisions.</w:t>
            </w:r>
          </w:p>
        </w:tc>
      </w:tr>
      <w:tr>
        <w:tc>
          <w:tcPr>
            <w:tcW w:w="400" w:type="dxa"/>
          </w:tcPr>
          <w:p>
            <w:pPr>
              <w:spacing w:after="0" w:line="200" w:lineRule="auto"/>
            </w:pPr>
            <w:r>
              <w:rPr>
                <w:sz w:val="15"/>
                <w:szCs w:val="15"/>
              </w:rPr>
              <w:t xml:space="preserve">8</w:t>
            </w:r>
          </w:p>
        </w:tc>
        <w:tc>
          <w:tcPr>
            <w:tcW w:w="2600" w:type="dxa"/>
          </w:tcPr>
          <w:p>
            <w:pPr>
              <w:spacing w:after="0" w:line="200" w:lineRule="auto"/>
            </w:pPr>
            <w:r>
              <w:rPr>
                <w:sz w:val="15"/>
                <w:szCs w:val="15"/>
              </w:rPr>
              <w:t xml:space="preserve">Retrieval-Augmented Generation for Knowledge-Intensive NLP Tasks (2020) </w:t>
            </w:r>
          </w:p>
        </w:tc>
        <w:tc>
          <w:tcPr>
            <w:tcW w:w="2000" w:type="dxa"/>
          </w:tcPr>
          <w:p>
            <w:pPr>
              <w:spacing w:after="0" w:line="200" w:lineRule="auto"/>
            </w:pPr>
            <w:r>
              <w:rPr>
                <w:sz w:val="15"/>
                <w:szCs w:val="15"/>
              </w:rPr>
              <w:t xml:space="preserve">Combines a pretrained generator with a neural retriever over a document index.</w:t>
            </w:r>
          </w:p>
        </w:tc>
        <w:tc>
          <w:tcPr>
            <w:tcW w:w="2000" w:type="dxa"/>
          </w:tcPr>
          <w:p>
            <w:pPr>
              <w:spacing w:after="0" w:line="200" w:lineRule="auto"/>
            </w:pPr>
            <w:r>
              <w:rPr>
                <w:sz w:val="15"/>
                <w:szCs w:val="15"/>
              </w:rPr>
              <w:t xml:space="preserve">Improved open-domain QA; more specific, diverse, factual output than parametric-only.</w:t>
            </w:r>
          </w:p>
        </w:tc>
        <w:tc>
          <w:tcPr>
            <w:tcW w:w="2000" w:type="dxa"/>
          </w:tcPr>
          <w:p>
            <w:pPr>
              <w:spacing w:after="0" w:line="200" w:lineRule="auto"/>
            </w:pPr>
            <w:r>
              <w:rPr>
                <w:sz w:val="15"/>
                <w:szCs w:val="15"/>
              </w:rPr>
              <w:t xml:space="preserve">Retrieval quality bounds answer quality; general Wikipedia source.</w:t>
            </w:r>
          </w:p>
        </w:tc>
      </w:tr>
      <w:tr>
        <w:tc>
          <w:tcPr>
            <w:tcW w:w="400" w:type="dxa"/>
          </w:tcPr>
          <w:p>
            <w:pPr>
              <w:spacing w:after="0" w:line="200" w:lineRule="auto"/>
            </w:pPr>
            <w:r>
              <w:rPr>
                <w:sz w:val="15"/>
                <w:szCs w:val="15"/>
              </w:rPr>
              <w:t xml:space="preserve">9</w:t>
            </w:r>
          </w:p>
        </w:tc>
        <w:tc>
          <w:tcPr>
            <w:tcW w:w="2600" w:type="dxa"/>
          </w:tcPr>
          <w:p>
            <w:pPr>
              <w:spacing w:after="0" w:line="200" w:lineRule="auto"/>
            </w:pPr>
            <w:r>
              <w:rPr>
                <w:sz w:val="15"/>
                <w:szCs w:val="15"/>
              </w:rPr>
              <w:t xml:space="preserve">Self-RAG: Learning to Retrieve, Generate, and Critique via Self-Reflection (2024) </w:t>
            </w:r>
          </w:p>
        </w:tc>
        <w:tc>
          <w:tcPr>
            <w:tcW w:w="2000" w:type="dxa"/>
          </w:tcPr>
          <w:p>
            <w:pPr>
              <w:spacing w:after="0" w:line="200" w:lineRule="auto"/>
            </w:pPr>
            <w:r>
              <w:rPr>
                <w:sz w:val="15"/>
                <w:szCs w:val="15"/>
              </w:rPr>
              <w:t xml:space="preserve">Model retrieves on demand and critiques evidence/outputs with reflection tokens.</w:t>
            </w:r>
          </w:p>
        </w:tc>
        <w:tc>
          <w:tcPr>
            <w:tcW w:w="2000" w:type="dxa"/>
          </w:tcPr>
          <w:p>
            <w:pPr>
              <w:spacing w:after="0" w:line="200" w:lineRule="auto"/>
            </w:pPr>
            <w:r>
              <w:rPr>
                <w:sz w:val="15"/>
                <w:szCs w:val="15"/>
              </w:rPr>
              <w:t xml:space="preserve">Improved factuality and citation accuracy across QA, reasoning, fact-verification.</w:t>
            </w:r>
          </w:p>
        </w:tc>
        <w:tc>
          <w:tcPr>
            <w:tcW w:w="2000" w:type="dxa"/>
          </w:tcPr>
          <w:p>
            <w:pPr>
              <w:spacing w:after="0" w:line="200" w:lineRule="auto"/>
            </w:pPr>
            <w:r>
              <w:rPr>
                <w:sz w:val="15"/>
                <w:szCs w:val="15"/>
              </w:rPr>
              <w:t xml:space="preserve">Needs specialized training; adds reasoning/retrieval complexity.</w:t>
            </w:r>
          </w:p>
        </w:tc>
      </w:tr>
      <w:tr>
        <w:tc>
          <w:tcPr>
            <w:tcW w:w="400" w:type="dxa"/>
          </w:tcPr>
          <w:p>
            <w:pPr>
              <w:spacing w:after="0" w:line="200" w:lineRule="auto"/>
            </w:pPr>
            <w:r>
              <w:rPr>
                <w:sz w:val="15"/>
                <w:szCs w:val="15"/>
              </w:rPr>
              <w:t xml:space="preserve">10</w:t>
            </w:r>
          </w:p>
        </w:tc>
        <w:tc>
          <w:tcPr>
            <w:tcW w:w="2600" w:type="dxa"/>
          </w:tcPr>
          <w:p>
            <w:pPr>
              <w:spacing w:after="0" w:line="200" w:lineRule="auto"/>
            </w:pPr>
            <w:r>
              <w:rPr>
                <w:sz w:val="15"/>
                <w:szCs w:val="15"/>
              </w:rPr>
              <w:t xml:space="preserve">Unsupervised Dense Retrieval with Contrastive Learning — Contriever (2022) </w:t>
            </w:r>
          </w:p>
        </w:tc>
        <w:tc>
          <w:tcPr>
            <w:tcW w:w="2000" w:type="dxa"/>
          </w:tcPr>
          <w:p>
            <w:pPr>
              <w:spacing w:after="0" w:line="200" w:lineRule="auto"/>
            </w:pPr>
            <w:r>
              <w:rPr>
                <w:sz w:val="15"/>
                <w:szCs w:val="15"/>
              </w:rPr>
              <w:t xml:space="preserve">Trains dense retrievers via unsupervised contrastive learning; extends to multilingual.</w:t>
            </w:r>
          </w:p>
        </w:tc>
        <w:tc>
          <w:tcPr>
            <w:tcW w:w="2000" w:type="dxa"/>
          </w:tcPr>
          <w:p>
            <w:pPr>
              <w:spacing w:after="0" w:line="200" w:lineRule="auto"/>
            </w:pPr>
            <w:r>
              <w:rPr>
                <w:sz w:val="15"/>
                <w:szCs w:val="15"/>
              </w:rPr>
              <w:t xml:space="preserve">Competitive retrieval without supervision; strong multilingual/cross-lingual capability.</w:t>
            </w:r>
          </w:p>
        </w:tc>
        <w:tc>
          <w:tcPr>
            <w:tcW w:w="2000" w:type="dxa"/>
          </w:tcPr>
          <w:p>
            <w:pPr>
              <w:spacing w:after="0" w:line="200" w:lineRule="auto"/>
            </w:pPr>
            <w:r>
              <w:rPr>
                <w:sz w:val="15"/>
                <w:szCs w:val="15"/>
              </w:rPr>
              <w:t xml:space="preserve">May underperform on specialized government terminology without tuning.</w:t>
            </w:r>
          </w:p>
        </w:tc>
      </w:tr>
    </w:tbl>
    <w:p>
      <w:pPr>
        <w:spacing w:after="80"/>
      </w:pPr>
    </w:p>
    <w:p>
      <w:pPr>
        <w:jc w:val="center"/>
        <w:spacing w:after="100" w:line="230" w:lineRule="auto"/>
      </w:pPr>
      <w:r>
        <w:rPr>
          <w:b/>
          <w:sz w:val="20"/>
          <w:szCs w:val="20"/>
        </w:rPr>
        <w:t xml:space="preserve">III. RESEARCH GAPS IDENTIFIED</w:t>
      </w:r>
    </w:p>
    <w:p>
      <w:pPr>
        <w:jc w:val="both"/>
        <w:ind w:firstLine="170"/>
        <w:spacing w:after="80" w:line="230" w:lineRule="auto"/>
      </w:pPr>
      <w:r>
        <w:rPr>
          <w:sz w:val="19"/>
          <w:szCs w:val="19"/>
        </w:rPr>
        <w:t xml:space="preserve">Scheme-Discovery Gap: Portals require the citizen to know a scheme’s name; situation-first discovery is largely unsupported [1].</w:t>
      </w:r>
    </w:p>
    <w:p>
      <w:pPr>
        <w:jc w:val="both"/>
        <w:ind w:firstLine="170"/>
        <w:spacing w:after="80" w:line="230" w:lineRule="auto"/>
      </w:pPr>
      <w:r>
        <w:rPr>
          <w:sz w:val="19"/>
          <w:szCs w:val="19"/>
        </w:rPr>
        <w:t xml:space="preserve">Personalization Gap: Generic scheme information does not account for an individual’s occupation, family situation, or location.</w:t>
      </w:r>
    </w:p>
    <w:p>
      <w:pPr>
        <w:jc w:val="both"/>
        <w:ind w:firstLine="170"/>
        <w:spacing w:after="80" w:line="230" w:lineRule="auto"/>
      </w:pPr>
      <w:r>
        <w:rPr>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sz w:val="19"/>
          <w:szCs w:val="19"/>
        </w:rPr>
        <w:t xml:space="preserve">Guidance Gap: Users need concrete support with required documents and application steps after a scheme is identified.</w:t>
      </w:r>
    </w:p>
    <w:p>
      <w:pPr>
        <w:jc w:val="both"/>
        <w:ind w:firstLine="170"/>
        <w:spacing w:after="80" w:line="230" w:lineRule="auto"/>
      </w:pPr>
      <w:r>
        <w:rPr>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b/>
          <w:sz w:val="20"/>
          <w:szCs w:val="20"/>
        </w:rPr>
        <w:t xml:space="preserve">IV. KNOWLEDGE SOURCES AND DATA</w:t>
      </w:r>
    </w:p>
    <w:p>
      <w:pPr>
        <w:jc w:val="both"/>
        <w:ind w:firstLine="170"/>
        <w:spacing w:after="80" w:line="230" w:lineRule="auto"/>
      </w:pPr>
      <w:r>
        <w:rPr>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sz w:val="19"/>
          <w:szCs w:val="19"/>
        </w:rPr>
        <w:t xml:space="preserve">• Eligibility-rule documents that specify conditions, thresholds, and required documents per scheme.</w:t>
      </w:r>
    </w:p>
    <w:p>
      <w:pPr>
        <w:jc w:val="both"/>
        <w:ind w:firstLine="170"/>
        <w:spacing w:after="80" w:line="230" w:lineRule="auto"/>
      </w:pPr>
      <w:r>
        <w:rPr>
          <w:sz w:val="19"/>
          <w:szCs w:val="19"/>
        </w:rPr>
        <w:t xml:space="preserve">• Policy / circular documents capturing scheme-conflict rules (which benefits cannot be claimed together).</w:t>
      </w:r>
    </w:p>
    <w:p>
      <w:pPr>
        <w:jc w:val="both"/>
        <w:ind w:firstLine="170"/>
        <w:spacing w:after="80" w:line="230" w:lineRule="auto"/>
      </w:pPr>
      <w:r>
        <w:rPr>
          <w:sz w:val="19"/>
          <w:szCs w:val="19"/>
        </w:rPr>
        <w:t xml:space="preserve">• Multilingual query data in English plus two regional languages (Telugu and Hindi) for voice and text input.</w:t>
      </w:r>
    </w:p>
    <w:p>
      <w:pPr>
        <w:jc w:val="both"/>
        <w:ind w:firstLine="170"/>
        <w:spacing w:after="80" w:line="230" w:lineRule="auto"/>
      </w:pPr>
      <w:r>
        <w:rPr>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b/>
          <w:sz w:val="20"/>
          <w:szCs w:val="20"/>
        </w:rPr>
        <w:t xml:space="preserve">V. PROBLEM STATEMENT</w:t>
      </w:r>
    </w:p>
    <w:p>
      <w:pPr>
        <w:jc w:val="both"/>
        <w:ind w:firstLine="170"/>
        <w:spacing w:after="80" w:line="230" w:lineRule="auto"/>
      </w:pPr>
      <w:r>
        <w:rPr>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b/>
          <w:sz w:val="20"/>
          <w:szCs w:val="20"/>
        </w:rPr>
        <w:t xml:space="preserve">VI. MOTIVATION</w:t>
      </w:r>
    </w:p>
    <w:p>
      <w:pPr>
        <w:jc w:val="both"/>
        <w:ind w:firstLine="170"/>
        <w:spacing w:after="80" w:line="230" w:lineRule="auto"/>
      </w:pPr>
      <w:r>
        <w:rPr>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b/>
          <w:sz w:val="20"/>
          <w:szCs w:val="20"/>
        </w:rPr>
        <w:t xml:space="preserve">VII. RESEARCH OBJECTIVES</w:t>
      </w:r>
    </w:p>
    <w:p>
      <w:pPr>
        <w:jc w:val="both"/>
        <w:ind w:firstLine="170"/>
        <w:spacing w:after="80" w:line="230" w:lineRule="auto"/>
      </w:pPr>
      <w:r>
        <w:rPr>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sz w:val="19"/>
          <w:szCs w:val="19"/>
        </w:rPr>
        <w:t xml:space="preserve">Objective 3: To build a RAG pipeline over official scheme and policy documents using a vector database for semantic retrieval.</w:t>
      </w:r>
    </w:p>
    <w:p>
      <w:pPr>
        <w:jc w:val="both"/>
        <w:ind w:firstLine="170"/>
        <w:spacing w:after="80" w:line="230" w:lineRule="auto"/>
      </w:pPr>
      <w:r>
        <w:rPr>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sz w:val="19"/>
          <w:szCs w:val="19"/>
        </w:rPr>
        <w:t xml:space="preserve">Objective 5: To implement scheme-conflict detection that warns when mutually exclusive benefits are selected.</w:t>
      </w:r>
    </w:p>
    <w:p>
      <w:pPr>
        <w:jc w:val="both"/>
        <w:ind w:firstLine="170"/>
        <w:spacing w:after="80" w:line="230" w:lineRule="auto"/>
      </w:pPr>
      <w:r>
        <w:rPr>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b/>
          <w:sz w:val="20"/>
          <w:szCs w:val="20"/>
        </w:rPr>
        <w:t xml:space="preserve">VIII. EXISTING SYSTEM AND PROPOSED SYSTEM</w:t>
      </w:r>
    </w:p>
    <w:p>
      <w:pPr>
        <w:jc w:val="left"/>
        <w:spacing w:after="60" w:line="230" w:lineRule="auto"/>
      </w:pPr>
      <w:r>
        <w:rPr>
          <w:b/>
          <w:i/>
          <w:sz w:val="19"/>
          <w:szCs w:val="19"/>
        </w:rPr>
        <w:t xml:space="preserve">A. Existing System</w:t>
      </w:r>
    </w:p>
    <w:p>
      <w:pPr>
        <w:jc w:val="both"/>
        <w:ind w:firstLine="170"/>
        <w:spacing w:after="80" w:line="230" w:lineRule="auto"/>
      </w:pPr>
      <w:r>
        <w:rPr>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jc w:val="center"/>
        <w:spacing w:after="40"/>
      </w:pPr>
      <w:r>
        <w:drawing>
          <wp:inline distT="0" distB="0" distL="0" distR="0">
            <wp:extent cx="2664000" cy="666000"/>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2664000" cy="666000"/>
                    </a:xfrm>
                    <a:prstGeom prst="rect">
                      <a:avLst/>
                    </a:prstGeom>
                  </pic:spPr>
                </pic:pic>
              </a:graphicData>
            </a:graphic>
          </wp:inline>
        </w:drawing>
      </w:r>
    </w:p>
    <w:p>
      <w:pPr>
        <w:jc w:val="center"/>
        <w:spacing w:after="120" w:line="230" w:lineRule="auto"/>
      </w:pPr>
      <w:r>
        <w:rPr>
          <w:i/>
          <w:sz w:val="16"/>
          <w:szCs w:val="16"/>
        </w:rPr>
        <w:t xml:space="preserve">Fig. 1.  Existing system — manual welfare scheme lookup.</w:t>
      </w:r>
    </w:p>
    <w:p>
      <w:pPr>
        <w:jc w:val="left"/>
        <w:spacing w:after="60" w:line="230" w:lineRule="auto"/>
      </w:pPr>
      <w:r>
        <w:rPr>
          <w:b/>
          <w:i/>
          <w:sz w:val="19"/>
          <w:szCs w:val="19"/>
        </w:rPr>
        <w:t xml:space="preserve">B. Proposed System</w:t>
      </w:r>
    </w:p>
    <w:p>
      <w:pPr>
        <w:jc w:val="both"/>
        <w:ind w:firstLine="170"/>
        <w:spacing w:after="80" w:line="230" w:lineRule="auto"/>
      </w:pPr>
      <w:r>
        <w:rPr>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jc w:val="center"/>
        <w:spacing w:after="40"/>
      </w:pPr>
      <w:r>
        <w:drawing>
          <wp:inline distT="0" distB="0" distL="0" distR="0">
            <wp:extent cx="2664000" cy="1118880"/>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2664000" cy="1118880"/>
                    </a:xfrm>
                    <a:prstGeom prst="rect">
                      <a:avLst/>
                    </a:prstGeom>
                  </pic:spPr>
                </pic:pic>
              </a:graphicData>
            </a:graphic>
          </wp:inline>
        </w:drawing>
      </w:r>
    </w:p>
    <w:p>
      <w:pPr>
        <w:jc w:val="center"/>
        <w:spacing w:after="120" w:line="230" w:lineRule="auto"/>
      </w:pPr>
      <w:r>
        <w:rPr>
          <w:i/>
          <w:sz w:val="16"/>
          <w:szCs w:val="16"/>
        </w:rPr>
        <w:t xml:space="preserve">Fig. 2.  Proposed system — GraminSahay situation-first flow.</w:t>
      </w:r>
    </w:p>
    <w:p>
      <w:pPr>
        <w:jc w:val="center"/>
        <w:spacing w:after="100" w:line="230" w:lineRule="auto"/>
      </w:pPr>
      <w:r>
        <w:rPr>
          <w:b/>
          <w:sz w:val="20"/>
          <w:szCs w:val="20"/>
        </w:rPr>
        <w:t xml:space="preserve">IX. PROPOSED METHODOLOGY</w:t>
      </w:r>
    </w:p>
    <w:p>
      <w:pPr>
        <w:jc w:val="both"/>
        <w:ind w:firstLine="170"/>
        <w:spacing w:after="80" w:line="230" w:lineRule="auto"/>
      </w:pPr>
      <w:r>
        <w:rPr>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sz w:val="19"/>
          <w:szCs w:val="19"/>
        </w:rPr>
        <w:t xml:space="preserve">7) Multilingual Voice Output: The response is rendered through Indic TTS in the citizen’s selected language.</w:t>
      </w:r>
    </w:p>
    <w:p>
      <w:pPr>
        <w:jc w:val="both"/>
        <w:ind w:firstLine="170"/>
        <w:spacing w:after="80" w:line="230" w:lineRule="auto"/>
      </w:pPr>
      <w:r>
        <w:rPr>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b/>
          <w:sz w:val="20"/>
          <w:szCs w:val="20"/>
        </w:rPr>
        <w:t xml:space="preserve">X. PROPOSED SOLUTION AND SYSTEM ARCHITECTURE</w:t>
      </w:r>
    </w:p>
    <w:p>
      <w:pPr>
        <w:jc w:val="both"/>
        <w:ind w:firstLine="170"/>
        <w:spacing w:after="80" w:line="230" w:lineRule="auto"/>
      </w:pPr>
      <w:r>
        <w:rPr>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sectPr>
          <w:type w:val="continuous"/>
          <w:pgSz w:w="11906" w:h="16838"/>
          <w:pgMar w:top="1000" w:right="850" w:bottom="1000" w:left="850"/>
          <w:cols w:num="1"/>
        </w:sectPr>
      </w:pPr>
    </w:p>
    <w:p>
      <w:pPr>
        <w:jc w:val="center"/>
        <w:spacing w:after="40"/>
      </w:pPr>
      <w:r>
        <w:drawing>
          <wp:inline distT="0" distB="0" distL="0" distR="0">
            <wp:extent cx="3960000" cy="6160000"/>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6160000"/>
                    </a:xfrm>
                    <a:prstGeom prst="rect">
                      <a:avLst/>
                    </a:prstGeom>
                  </pic:spPr>
                </pic:pic>
              </a:graphicData>
            </a:graphic>
          </wp:inline>
        </w:drawing>
      </w:r>
    </w:p>
    <w:p>
      <w:pPr>
        <w:jc w:val="center"/>
        <w:spacing w:after="120" w:line="230" w:lineRule="auto"/>
      </w:pPr>
      <w:r>
        <w:rPr>
          <w:i/>
          <w:sz w:val="16"/>
          <w:szCs w:val="16"/>
        </w:rPr>
        <w:t xml:space="preserve">Fig. 3.  Layered system flow and architecture of GraminSahay.</w:t>
      </w:r>
    </w:p>
    <w:p>
      <w:pPr>
        <w:sectPr>
          <w:type w:val="continuous"/>
          <w:pgSz w:w="11906" w:h="16838"/>
          <w:pgMar w:top="1000" w:right="850" w:bottom="1000" w:left="850" w:header="0" w:footer="0" w:gutter="0"/>
          <w:cols w:num="2" w:space="360"/>
        </w:sectPr>
      </w:pPr>
    </w:p>
    <w:p>
      <w:pPr>
        <w:jc w:val="center"/>
        <w:spacing w:after="100" w:line="230" w:lineRule="auto"/>
      </w:pPr>
      <w:r>
        <w:rPr>
          <w:b/>
          <w:sz w:val="20"/>
          <w:szCs w:val="20"/>
        </w:rPr>
        <w:t xml:space="preserve">XI. EXPECTED RESULTS</w:t>
      </w:r>
    </w:p>
    <w:p>
      <w:pPr>
        <w:jc w:val="both"/>
        <w:ind w:firstLine="170"/>
        <w:spacing w:after="80" w:line="230" w:lineRule="auto"/>
      </w:pPr>
      <w:r>
        <w:rPr>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b/>
          <w:i/>
          <w:sz w:val="19"/>
          <w:szCs w:val="19"/>
        </w:rPr>
        <w:t xml:space="preserve">A. Expected Performance (Tabular)</w:t>
      </w:r>
    </w:p>
    <w:p>
      <w:pPr>
        <w:jc w:val="both"/>
        <w:ind w:firstLine="170"/>
        <w:spacing w:after="80" w:line="230" w:lineRule="auto"/>
      </w:pPr>
      <w:r>
        <w:rPr>
          <w:sz w:val="19"/>
          <w:szCs w:val="19"/>
        </w:rPr>
        <w:t xml:space="preserve">Table II summarizes the anticipated performance of the GraminSahay pipeline across the five pilot welfare categories, using retrieval Recall@5, answer faithfulness [4], [7], eligibility-classification accuracy, and macro-F1.</w:t>
      </w:r>
    </w:p>
    <w:p>
      <w:pPr>
        <w:jc w:val="center"/>
        <w:spacing w:after="40" w:line="230" w:lineRule="auto"/>
      </w:pPr>
      <w:r>
        <w:rPr>
          <w:b/>
          <w:sz w:val="16"/>
          <w:szCs w:val="16"/>
        </w:rPr>
        <w:t xml:space="preserve">Table II.  Expected Performance Across Welfare Categories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b/>
                <w:sz w:val="15"/>
                <w:szCs w:val="15"/>
              </w:rPr>
              <w:t xml:space="preserve">Category</w:t>
            </w:r>
          </w:p>
        </w:tc>
        <w:tc>
          <w:tcPr>
            <w:tcW w:w="1800" w:type="dxa"/>
            <w:shd w:val="clear" w:fill="D9D9D9"/>
          </w:tcPr>
          <w:p>
            <w:pPr>
              <w:spacing w:after="0" w:line="200" w:lineRule="auto"/>
            </w:pPr>
            <w:r>
              <w:rPr>
                <w:b/>
                <w:sz w:val="15"/>
                <w:szCs w:val="15"/>
              </w:rPr>
              <w:t xml:space="preserve">Recall@5</w:t>
            </w:r>
          </w:p>
        </w:tc>
        <w:tc>
          <w:tcPr>
            <w:tcW w:w="1800" w:type="dxa"/>
            <w:shd w:val="clear" w:fill="D9D9D9"/>
          </w:tcPr>
          <w:p>
            <w:pPr>
              <w:spacing w:after="0" w:line="200" w:lineRule="auto"/>
            </w:pPr>
            <w:r>
              <w:rPr>
                <w:b/>
                <w:sz w:val="15"/>
                <w:szCs w:val="15"/>
              </w:rPr>
              <w:t xml:space="preserve">Faithful.</w:t>
            </w:r>
          </w:p>
        </w:tc>
        <w:tc>
          <w:tcPr>
            <w:tcW w:w="1800" w:type="dxa"/>
            <w:shd w:val="clear" w:fill="D9D9D9"/>
          </w:tcPr>
          <w:p>
            <w:pPr>
              <w:spacing w:after="0" w:line="200" w:lineRule="auto"/>
            </w:pPr>
            <w:r>
              <w:rPr>
                <w:b/>
                <w:sz w:val="15"/>
                <w:szCs w:val="15"/>
              </w:rPr>
              <w:t xml:space="preserve">Acc. (%)</w:t>
            </w:r>
          </w:p>
        </w:tc>
        <w:tc>
          <w:tcPr>
            <w:tcW w:w="1800" w:type="dxa"/>
            <w:shd w:val="clear" w:fill="D9D9D9"/>
          </w:tcPr>
          <w:p>
            <w:pPr>
              <w:spacing w:after="0" w:line="200" w:lineRule="auto"/>
            </w:pPr>
            <w:r>
              <w:rPr>
                <w:b/>
                <w:sz w:val="15"/>
                <w:szCs w:val="15"/>
              </w:rPr>
              <w:t xml:space="preserve">Macro-F1</w:t>
            </w:r>
          </w:p>
        </w:tc>
      </w:tr>
      <w:tr>
        <w:tc>
          <w:tcPr>
            <w:tcW w:w="1800" w:type="dxa"/>
          </w:tcPr>
          <w:p>
            <w:pPr>
              <w:spacing w:after="0" w:line="200" w:lineRule="auto"/>
            </w:pPr>
            <w:r>
              <w:rPr>
                <w:sz w:val="15"/>
                <w:szCs w:val="15"/>
              </w:rPr>
              <w:t xml:space="preserve">Agriculture</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91</w:t>
            </w:r>
          </w:p>
        </w:tc>
        <w:tc>
          <w:tcPr>
            <w:tcW w:w="1800" w:type="dxa"/>
          </w:tcPr>
          <w:p>
            <w:pPr>
              <w:spacing w:after="0" w:line="200" w:lineRule="auto"/>
            </w:pPr>
            <w:r>
              <w:rPr>
                <w:sz w:val="15"/>
                <w:szCs w:val="15"/>
              </w:rPr>
              <w:t xml:space="preserve">0.89</w:t>
            </w:r>
          </w:p>
        </w:tc>
      </w:tr>
      <w:tr>
        <w:tc>
          <w:tcPr>
            <w:tcW w:w="1800" w:type="dxa"/>
          </w:tcPr>
          <w:p>
            <w:pPr>
              <w:spacing w:after="0" w:line="200" w:lineRule="auto"/>
            </w:pPr>
            <w:r>
              <w:rPr>
                <w:sz w:val="15"/>
                <w:szCs w:val="15"/>
              </w:rPr>
              <w:t xml:space="preserve">Education</w:t>
            </w:r>
          </w:p>
        </w:tc>
        <w:tc>
          <w:tcPr>
            <w:tcW w:w="1800" w:type="dxa"/>
          </w:tcPr>
          <w:p>
            <w:pPr>
              <w:spacing w:after="0" w:line="200" w:lineRule="auto"/>
            </w:pPr>
            <w:r>
              <w:rPr>
                <w:sz w:val="15"/>
                <w:szCs w:val="15"/>
              </w:rPr>
              <w:t xml:space="preserve">0.88</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88</w:t>
            </w:r>
          </w:p>
        </w:tc>
        <w:tc>
          <w:tcPr>
            <w:tcW w:w="1800" w:type="dxa"/>
          </w:tcPr>
          <w:p>
            <w:pPr>
              <w:spacing w:after="0" w:line="200" w:lineRule="auto"/>
            </w:pPr>
            <w:r>
              <w:rPr>
                <w:sz w:val="15"/>
                <w:szCs w:val="15"/>
              </w:rPr>
              <w:t xml:space="preserve">0.86</w:t>
            </w:r>
          </w:p>
        </w:tc>
      </w:tr>
      <w:tr>
        <w:tc>
          <w:tcPr>
            <w:tcW w:w="1800" w:type="dxa"/>
          </w:tcPr>
          <w:p>
            <w:pPr>
              <w:spacing w:after="0" w:line="200" w:lineRule="auto"/>
            </w:pPr>
            <w:r>
              <w:rPr>
                <w:sz w:val="15"/>
                <w:szCs w:val="15"/>
              </w:rPr>
              <w:t xml:space="preserve">Healthcare</w:t>
            </w:r>
          </w:p>
        </w:tc>
        <w:tc>
          <w:tcPr>
            <w:tcW w:w="1800" w:type="dxa"/>
          </w:tcPr>
          <w:p>
            <w:pPr>
              <w:spacing w:after="0" w:line="200" w:lineRule="auto"/>
            </w:pPr>
            <w:r>
              <w:rPr>
                <w:sz w:val="15"/>
                <w:szCs w:val="15"/>
              </w:rPr>
              <w:t xml:space="preserve">0.86</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86</w:t>
            </w:r>
          </w:p>
        </w:tc>
        <w:tc>
          <w:tcPr>
            <w:tcW w:w="1800" w:type="dxa"/>
          </w:tcPr>
          <w:p>
            <w:pPr>
              <w:spacing w:after="0" w:line="200" w:lineRule="auto"/>
            </w:pPr>
            <w:r>
              <w:rPr>
                <w:sz w:val="15"/>
                <w:szCs w:val="15"/>
              </w:rPr>
              <w:t xml:space="preserve">0.84</w:t>
            </w:r>
          </w:p>
        </w:tc>
      </w:tr>
      <w:tr>
        <w:tc>
          <w:tcPr>
            <w:tcW w:w="1800" w:type="dxa"/>
          </w:tcPr>
          <w:p>
            <w:pPr>
              <w:spacing w:after="0" w:line="200" w:lineRule="auto"/>
            </w:pPr>
            <w:r>
              <w:rPr>
                <w:sz w:val="15"/>
                <w:szCs w:val="15"/>
              </w:rPr>
              <w:t xml:space="preserve">Housing</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w:t>
            </w:r>
          </w:p>
        </w:tc>
        <w:tc>
          <w:tcPr>
            <w:tcW w:w="1800" w:type="dxa"/>
          </w:tcPr>
          <w:p>
            <w:pPr>
              <w:spacing w:after="0" w:line="200" w:lineRule="auto"/>
            </w:pPr>
            <w:r>
              <w:rPr>
                <w:sz w:val="15"/>
                <w:szCs w:val="15"/>
              </w:rPr>
              <w:t xml:space="preserve">0.87</w:t>
            </w:r>
          </w:p>
        </w:tc>
      </w:tr>
      <w:tr>
        <w:tc>
          <w:tcPr>
            <w:tcW w:w="1800" w:type="dxa"/>
          </w:tcPr>
          <w:p>
            <w:pPr>
              <w:spacing w:after="0" w:line="200" w:lineRule="auto"/>
            </w:pPr>
            <w:r>
              <w:rPr>
                <w:sz w:val="15"/>
                <w:szCs w:val="15"/>
              </w:rPr>
              <w:t xml:space="preserve">Pensions</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0.93</w:t>
            </w:r>
          </w:p>
        </w:tc>
        <w:tc>
          <w:tcPr>
            <w:tcW w:w="1800" w:type="dxa"/>
          </w:tcPr>
          <w:p>
            <w:pPr>
              <w:spacing w:after="0" w:line="200" w:lineRule="auto"/>
            </w:pPr>
            <w:r>
              <w:rPr>
                <w:sz w:val="15"/>
                <w:szCs w:val="15"/>
              </w:rPr>
              <w:t xml:space="preserve">93</w:t>
            </w:r>
          </w:p>
        </w:tc>
        <w:tc>
          <w:tcPr>
            <w:tcW w:w="1800" w:type="dxa"/>
          </w:tcPr>
          <w:p>
            <w:pPr>
              <w:spacing w:after="0" w:line="200" w:lineRule="auto"/>
            </w:pPr>
            <w:r>
              <w:rPr>
                <w:sz w:val="15"/>
                <w:szCs w:val="15"/>
              </w:rPr>
              <w:t xml:space="preserve">0.90</w:t>
            </w:r>
          </w:p>
        </w:tc>
      </w:tr>
      <w:tr>
        <w:tc>
          <w:tcPr>
            <w:tcW w:w="1800" w:type="dxa"/>
          </w:tcPr>
          <w:p>
            <w:pPr>
              <w:spacing w:after="0" w:line="200" w:lineRule="auto"/>
            </w:pPr>
            <w:r>
              <w:rPr>
                <w:sz w:val="15"/>
                <w:szCs w:val="15"/>
              </w:rPr>
              <w:t xml:space="preserve">Overall</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89.4</w:t>
            </w:r>
          </w:p>
        </w:tc>
        <w:tc>
          <w:tcPr>
            <w:tcW w:w="1800" w:type="dxa"/>
          </w:tcPr>
          <w:p>
            <w:pPr>
              <w:spacing w:after="0" w:line="200" w:lineRule="auto"/>
            </w:pPr>
            <w:r>
              <w:rPr>
                <w:sz w:val="15"/>
                <w:szCs w:val="15"/>
              </w:rPr>
              <w:t xml:space="preserve">0.87</w:t>
            </w:r>
          </w:p>
        </w:tc>
      </w:tr>
    </w:tbl>
    <w:p>
      <w:pPr>
        <w:spacing w:after="80"/>
      </w:pPr>
    </w:p>
    <w:p>
      <w:pPr>
        <w:jc w:val="both"/>
        <w:ind w:firstLine="170"/>
        <w:spacing w:after="80" w:line="230" w:lineRule="auto"/>
      </w:pPr>
      <w:r>
        <w:rPr>
          <w:sz w:val="19"/>
          <w:szCs w:val="19"/>
        </w:rPr>
        <w:t xml:space="preserve">Table III contrasts GraminSahay with the existing manual approach on the qualitative capabilities identified as research gaps in Section III.</w:t>
      </w:r>
    </w:p>
    <w:p>
      <w:pPr>
        <w:jc w:val="center"/>
        <w:spacing w:after="40" w:line="230" w:lineRule="auto"/>
      </w:pPr>
      <w:r>
        <w:rPr>
          <w:b/>
          <w:sz w:val="16"/>
          <w:szCs w:val="16"/>
        </w:rPr>
        <w:t xml:space="preserve">Table III.  Expected Capability Comparison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b/>
                <w:sz w:val="15"/>
                <w:szCs w:val="15"/>
              </w:rPr>
              <w:t xml:space="preserve">Capability</w:t>
            </w:r>
          </w:p>
        </w:tc>
        <w:tc>
          <w:tcPr>
            <w:tcW w:w="2400" w:type="dxa"/>
            <w:shd w:val="clear" w:fill="D9D9D9"/>
          </w:tcPr>
          <w:p>
            <w:pPr>
              <w:spacing w:after="0" w:line="200" w:lineRule="auto"/>
            </w:pPr>
            <w:r>
              <w:rPr>
                <w:b/>
                <w:sz w:val="15"/>
                <w:szCs w:val="15"/>
              </w:rPr>
              <w:t xml:space="preserve">Existing</w:t>
            </w:r>
          </w:p>
        </w:tc>
        <w:tc>
          <w:tcPr>
            <w:tcW w:w="2400" w:type="dxa"/>
            <w:shd w:val="clear" w:fill="D9D9D9"/>
          </w:tcPr>
          <w:p>
            <w:pPr>
              <w:spacing w:after="0" w:line="200" w:lineRule="auto"/>
            </w:pPr>
            <w:r>
              <w:rPr>
                <w:b/>
                <w:sz w:val="15"/>
                <w:szCs w:val="15"/>
              </w:rPr>
              <w:t xml:space="preserve">GraminSahay</w:t>
            </w:r>
          </w:p>
        </w:tc>
      </w:tr>
      <w:tr>
        <w:tc>
          <w:tcPr>
            <w:tcW w:w="4200" w:type="dxa"/>
          </w:tcPr>
          <w:p>
            <w:pPr>
              <w:spacing w:after="0" w:line="200" w:lineRule="auto"/>
            </w:pPr>
            <w:r>
              <w:rPr>
                <w:sz w:val="15"/>
                <w:szCs w:val="15"/>
              </w:rPr>
              <w:t xml:space="preserve">Situation-first discovery</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Personalized to profile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Explainable eligibility</w:t>
            </w:r>
          </w:p>
        </w:tc>
        <w:tc>
          <w:tcPr>
            <w:tcW w:w="2400" w:type="dxa"/>
          </w:tcPr>
          <w:p>
            <w:pPr>
              <w:spacing w:after="0" w:line="200" w:lineRule="auto"/>
            </w:pPr>
            <w:r>
              <w:rPr>
                <w:sz w:val="15"/>
                <w:szCs w:val="15"/>
              </w:rPr>
              <w:t xml:space="preserve">Limited</w:t>
            </w:r>
          </w:p>
        </w:tc>
        <w:tc>
          <w:tcPr>
            <w:tcW w:w="2400" w:type="dxa"/>
          </w:tcPr>
          <w:p>
            <w:pPr>
              <w:spacing w:after="0" w:line="200" w:lineRule="auto"/>
            </w:pPr>
            <w:r>
              <w:rPr>
                <w:sz w:val="15"/>
                <w:szCs w:val="15"/>
              </w:rPr>
              <w:t xml:space="preserve">Yes (4-way)</w:t>
            </w:r>
          </w:p>
        </w:tc>
      </w:tr>
      <w:tr>
        <w:tc>
          <w:tcPr>
            <w:tcW w:w="4200" w:type="dxa"/>
          </w:tcPr>
          <w:p>
            <w:pPr>
              <w:spacing w:after="0" w:line="200" w:lineRule="auto"/>
            </w:pPr>
            <w:r>
              <w:rPr>
                <w:sz w:val="15"/>
                <w:szCs w:val="15"/>
              </w:rPr>
              <w:t xml:space="preserve">Conflict detection</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Multilingual voice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Application guidance</w:t>
            </w:r>
          </w:p>
        </w:tc>
        <w:tc>
          <w:tcPr>
            <w:tcW w:w="2400" w:type="dxa"/>
          </w:tcPr>
          <w:p>
            <w:pPr>
              <w:spacing w:after="0" w:line="200" w:lineRule="auto"/>
            </w:pPr>
            <w:r>
              <w:rPr>
                <w:sz w:val="15"/>
                <w:szCs w:val="15"/>
              </w:rPr>
              <w:t xml:space="preserve">Partial</w:t>
            </w:r>
          </w:p>
        </w:tc>
        <w:tc>
          <w:tcPr>
            <w:tcW w:w="2400" w:type="dxa"/>
          </w:tcPr>
          <w:p>
            <w:pPr>
              <w:spacing w:after="0" w:line="200" w:lineRule="auto"/>
            </w:pPr>
            <w:r>
              <w:rPr>
                <w:sz w:val="15"/>
                <w:szCs w:val="15"/>
              </w:rPr>
              <w:t xml:space="preserve">Yes</w:t>
            </w:r>
          </w:p>
        </w:tc>
      </w:tr>
    </w:tbl>
    <w:p>
      <w:pPr>
        <w:spacing w:after="80"/>
      </w:pPr>
    </w:p>
    <w:p>
      <w:pPr>
        <w:jc w:val="left"/>
        <w:spacing w:after="60" w:line="230" w:lineRule="auto"/>
      </w:pPr>
      <w:r>
        <w:rPr>
          <w:b/>
          <w:i/>
          <w:sz w:val="19"/>
          <w:szCs w:val="19"/>
        </w:rPr>
        <w:t xml:space="preserve">B. Expected Performance (Graphs)</w:t>
      </w:r>
    </w:p>
    <w:p>
      <w:pPr>
        <w:jc w:val="both"/>
        <w:ind w:firstLine="170"/>
        <w:spacing w:after="80" w:line="230" w:lineRule="auto"/>
      </w:pPr>
      <w:r>
        <w:rPr>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2664000" cy="1807714"/>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664000" cy="1807714"/>
                    </a:xfrm>
                    <a:prstGeom prst="rect">
                      <a:avLst/>
                    </a:prstGeom>
                  </pic:spPr>
                </pic:pic>
              </a:graphicData>
            </a:graphic>
          </wp:inline>
        </w:drawing>
      </w:r>
    </w:p>
    <w:p>
      <w:pPr>
        <w:jc w:val="center"/>
        <w:spacing w:after="120" w:line="230" w:lineRule="auto"/>
      </w:pPr>
      <w:r>
        <w:rPr>
          <w:i/>
          <w:sz w:val="16"/>
          <w:szCs w:val="16"/>
        </w:rPr>
        <w:t xml:space="preserve">Fig. 4.  Expected eligibility-classification accuracy by category.</w:t>
      </w:r>
    </w:p>
    <w:p>
      <w:pPr>
        <w:jc w:val="center"/>
        <w:spacing w:after="40"/>
      </w:pPr>
      <w:r>
        <w:drawing>
          <wp:inline distT="0" distB="0" distL="0" distR="0">
            <wp:extent cx="2664000" cy="1807714"/>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664000" cy="1807714"/>
                    </a:xfrm>
                    <a:prstGeom prst="rect">
                      <a:avLst/>
                    </a:prstGeom>
                  </pic:spPr>
                </pic:pic>
              </a:graphicData>
            </a:graphic>
          </wp:inline>
        </w:drawing>
      </w:r>
    </w:p>
    <w:p>
      <w:pPr>
        <w:jc w:val="center"/>
        <w:spacing w:after="120" w:line="230" w:lineRule="auto"/>
      </w:pPr>
      <w:r>
        <w:rPr>
          <w:i/>
          <w:sz w:val="16"/>
          <w:szCs w:val="16"/>
        </w:rPr>
        <w:t xml:space="preserve">Fig. 5.  Expected retrieval quality vs. top-k passages retrieved.</w:t>
      </w:r>
    </w:p>
    <w:p>
      <w:pPr>
        <w:jc w:val="left"/>
        <w:spacing w:after="60" w:line="230" w:lineRule="auto"/>
      </w:pPr>
      <w:r>
        <w:rPr>
          <w:b/>
          <w:i/>
          <w:sz w:val="19"/>
          <w:szCs w:val="19"/>
        </w:rPr>
        <w:t xml:space="preserve">C. Discussion of Expected Outcomes</w:t>
      </w:r>
    </w:p>
    <w:p>
      <w:pPr>
        <w:jc w:val="both"/>
        <w:ind w:firstLine="170"/>
        <w:spacing w:after="80" w:line="230" w:lineRule="auto"/>
      </w:pPr>
      <w:r>
        <w:rPr>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b/>
          <w:sz w:val="20"/>
          <w:szCs w:val="20"/>
        </w:rPr>
        <w:t xml:space="preserve">XII. FUTURE ENHANCEMENTS</w:t>
      </w:r>
    </w:p>
    <w:p>
      <w:pPr>
        <w:jc w:val="both"/>
        <w:ind w:firstLine="170"/>
        <w:spacing w:after="80" w:line="230" w:lineRule="auto"/>
      </w:pPr>
      <w:r>
        <w:rPr>
          <w:sz w:val="19"/>
          <w:szCs w:val="19"/>
        </w:rPr>
        <w:t xml:space="preserve">Several extensions are planned beyond the initial prototype:</w:t>
      </w:r>
    </w:p>
    <w:p>
      <w:pPr>
        <w:jc w:val="both"/>
        <w:ind w:firstLine="170"/>
        <w:spacing w:after="80" w:line="230" w:lineRule="auto"/>
      </w:pPr>
      <w:r>
        <w:rPr>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sz w:val="19"/>
          <w:szCs w:val="19"/>
        </w:rPr>
        <w:t xml:space="preserve">• Offline / low-bandwidth mode: On-device lightweight models and cached scheme data for areas with poor connectivity.</w:t>
      </w:r>
    </w:p>
    <w:p>
      <w:pPr>
        <w:jc w:val="both"/>
        <w:ind w:firstLine="170"/>
        <w:spacing w:after="80" w:line="230" w:lineRule="auto"/>
      </w:pPr>
      <w:r>
        <w:rPr>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sz w:val="19"/>
          <w:szCs w:val="19"/>
        </w:rPr>
        <w:t xml:space="preserve">• Accessibility: Integration with IVR / telephone and WhatsApp channels so citizens without smartphones can access the navigator.</w:t>
      </w:r>
    </w:p>
    <w:p>
      <w:pPr>
        <w:jc w:val="center"/>
        <w:spacing w:after="100" w:line="230" w:lineRule="auto"/>
      </w:pPr>
      <w:r>
        <w:rPr>
          <w:b/>
          <w:sz w:val="20"/>
          <w:szCs w:val="20"/>
        </w:rPr>
        <w:t xml:space="preserve">XIII. CONCLUSION</w:t>
      </w:r>
    </w:p>
    <w:p>
      <w:pPr>
        <w:jc w:val="both"/>
        <w:ind w:firstLine="170"/>
        <w:spacing w:after="80" w:line="230" w:lineRule="auto"/>
      </w:pPr>
      <w:r>
        <w:rPr>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b/>
          <w:sz w:val="20"/>
          <w:szCs w:val="20"/>
        </w:rPr>
        <w:t xml:space="preserve">REFERENCES</w:t>
      </w:r>
    </w:p>
    <w:p>
      <w:pPr>
        <w:jc w:val="both"/>
        <w:spacing w:after="40" w:line="230" w:lineRule="auto"/>
      </w:pPr>
      <w:r>
        <w:rPr>
          <w:sz w:val="16"/>
          <w:szCs w:val="16"/>
        </w:rPr>
        <w:t xml:space="preserve">[1] </w:t>
      </w:r>
      <w:r>
        <w:rPr>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sz w:val="16"/>
          <w:szCs w:val="16"/>
        </w:rPr>
        <w:t xml:space="preserve">[2] </w:t>
      </w:r>
      <w:r>
        <w:rPr>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sz w:val="16"/>
          <w:szCs w:val="16"/>
        </w:rPr>
        <w:t xml:space="preserve">[3] </w:t>
      </w:r>
      <w:r>
        <w:rPr>
          <w:sz w:val="16"/>
          <w:szCs w:val="16"/>
        </w:rPr>
        <w:t xml:space="preserve">Y. Li et al., “A Survey of RAG-Reasoning Systems in Large Language Models,” in Findings of ACL: EMNLP 2025, pp. 12120–12145, 2025.</w:t>
      </w:r>
    </w:p>
    <w:p>
      <w:pPr>
        <w:jc w:val="both"/>
        <w:spacing w:after="40" w:line="230" w:lineRule="auto"/>
      </w:pPr>
      <w:r>
        <w:rPr>
          <w:sz w:val="16"/>
          <w:szCs w:val="16"/>
        </w:rPr>
        <w:t xml:space="preserve">[4] </w:t>
      </w:r>
      <w:r>
        <w:rPr>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sz w:val="16"/>
          <w:szCs w:val="16"/>
        </w:rPr>
        <w:t xml:space="preserve">[5] </w:t>
      </w:r>
      <w:r>
        <w:rPr>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sz w:val="16"/>
          <w:szCs w:val="16"/>
        </w:rPr>
        <w:t xml:space="preserve">[6] </w:t>
      </w:r>
      <w:r>
        <w:rPr>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sz w:val="16"/>
          <w:szCs w:val="16"/>
        </w:rPr>
        <w:t xml:space="preserve">[7] </w:t>
      </w:r>
      <w:r>
        <w:rPr>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sz w:val="16"/>
          <w:szCs w:val="16"/>
        </w:rPr>
        <w:t xml:space="preserve">[8] </w:t>
      </w:r>
      <w:r>
        <w:rPr>
          <w:sz w:val="16"/>
          <w:szCs w:val="16"/>
        </w:rPr>
        <w:t xml:space="preserve">P. Lewis et al., “Retrieval-Augmented Generation for Knowledge-Intensive NLP Tasks,” in Advances in Neural Information Processing Systems (NeurIPS), 2020.</w:t>
      </w:r>
    </w:p>
    <w:p>
      <w:pPr>
        <w:jc w:val="both"/>
        <w:spacing w:after="40" w:line="230" w:lineRule="auto"/>
      </w:pPr>
      <w:r>
        <w:rPr>
          <w:sz w:val="16"/>
          <w:szCs w:val="16"/>
        </w:rPr>
        <w:t xml:space="preserve">[9] </w:t>
      </w:r>
      <w:r>
        <w:rPr>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sz w:val="16"/>
          <w:szCs w:val="16"/>
        </w:rPr>
        <w:t xml:space="preserve">[10] </w:t>
      </w:r>
      <w:r>
        <w:rPr>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sz w:val="16"/>
          <w:szCs w:val="16"/>
        </w:rPr>
        <w:t xml:space="preserve">[11] </w:t>
      </w:r>
      <w:r>
        <w:rPr>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_rels/document.xml.rels><?xml version="1.0" encoding="UTF-8" standalone="yes"?><Relationships xmlns="http://schemas.openxmlformats.org/package/2006/relationships"><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