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מוריד</w:t>
      </w:r>
      <w:r w:rsidRPr="0068530C">
        <w:rPr>
          <w:rFonts w:ascii="Arial" w:hAnsi="Arial" w:cs="Arial" w:hint="cs"/>
          <w:color w:val="FF0000"/>
          <w:rtl/>
        </w:rPr>
        <w:t xml:space="preserve">) </w:t>
      </w:r>
      <w:r>
        <w:rPr>
          <w:rFonts w:ascii="Arial" w:hAnsi="Arial" w:cs="Arial" w:hint="cs"/>
          <w:color w:val="252525"/>
          <w:rtl/>
        </w:rPr>
        <w:t xml:space="preserve">מספר הפורט שעליו מאזין הלקוח המעלה ומחכה לבקשה מהמוריד.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מספר הפורט</w:t>
      </w:r>
      <w:r>
        <w:rPr>
          <w:rFonts w:ascii="Arial" w:hAnsi="Arial" w:cs="Arial" w:hint="cs"/>
          <w:color w:val="252525"/>
          <w:rtl/>
        </w:rPr>
        <w:t xml:space="preserve"> הלקוח המעלה להאזין עד לסיום שיחתו עם המוריד</w:t>
      </w:r>
      <w:r>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lastRenderedPageBreak/>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Pr>
          <w:rFonts w:ascii="Arial" w:hAnsi="Arial" w:cs="Arial"/>
          <w:b/>
          <w:bCs/>
          <w:color w:val="252525"/>
          <w:u w:val="single"/>
        </w:rPr>
        <w:t>yftf</w:t>
      </w:r>
      <w:proofErr w:type="spellEnd"/>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w:t>
      </w:r>
      <w:r>
        <w:rPr>
          <w:rFonts w:ascii="Arial" w:hAnsi="Arial" w:cs="Arial" w:hint="cs"/>
          <w:color w:val="252525"/>
          <w:rtl/>
        </w:rPr>
        <w:t xml:space="preserve">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w:t>
      </w:r>
      <w:r>
        <w:rPr>
          <w:rFonts w:ascii="Arial" w:hAnsi="Arial" w:cs="Arial" w:hint="cs"/>
          <w:color w:val="252525"/>
          <w:rtl/>
        </w:rPr>
        <w:t xml:space="preserve">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D235ED"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D235ED" w:rsidRPr="00D235ED" w:rsidRDefault="00D235ED" w:rsidP="00D235E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FF0000"/>
          <w:rtl/>
        </w:rPr>
        <w:t xml:space="preserve"> </w:t>
      </w:r>
      <w:r>
        <w:rPr>
          <w:rFonts w:ascii="Arial" w:hAnsi="Arial" w:cs="Arial" w:hint="cs"/>
          <w:color w:val="252525"/>
          <w:rtl/>
        </w:rPr>
        <w:t xml:space="preserve">מספר הפורט שעליו הלקוח מאזין ומחכה לבקשה מלקוח אחר שמוריד.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CE7054"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CE7054" w:rsidRPr="00CE7054" w:rsidRDefault="00CE7054" w:rsidP="00CE7054">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bookmarkStart w:id="0" w:name="_GoBack"/>
      <w:bookmarkEnd w:id="0"/>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w:t>
      </w:r>
      <w:r>
        <w:rPr>
          <w:rFonts w:ascii="Arial" w:hAnsi="Arial" w:cs="Arial" w:hint="cs"/>
          <w:color w:val="252525"/>
          <w:rtl/>
        </w:rPr>
        <w:lastRenderedPageBreak/>
        <w:t xml:space="preserve">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CE7054"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E7054"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CE7054"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CE7054"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CE7054"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054"/>
    <w:rsid w:val="00CE791D"/>
    <w:rsid w:val="00CF1BF5"/>
    <w:rsid w:val="00CF6F7C"/>
    <w:rsid w:val="00D00D46"/>
    <w:rsid w:val="00D01C24"/>
    <w:rsid w:val="00D03E86"/>
    <w:rsid w:val="00D235ED"/>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3BCD-5F11-44BC-9247-CC1D3484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24029</TotalTime>
  <Pages>10</Pages>
  <Words>2629</Words>
  <Characters>14991</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426</cp:revision>
  <dcterms:created xsi:type="dcterms:W3CDTF">2016-01-07T13:56:00Z</dcterms:created>
  <dcterms:modified xsi:type="dcterms:W3CDTF">2016-04-18T13:16:00Z</dcterms:modified>
</cp:coreProperties>
</file>