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בבקשה הלקוח שולח פרטים על עצמו ועל הקובץ שהוא רוצה להוריד. אם הוא מוריד הוא מודיע על הפורט שעליו הוא מאזין ומחקה למידע והוא מבקש את האינדקס של החלק שהוא רוצה להוריד. על הדרך הוא גם מודיע על האינדקס של החלק שהוא סיים להוריד (אם יש). בנוסף, הלקוח גם יכול להודיע אם הוא יכול להעלות חלק. </w:t>
      </w:r>
    </w:p>
    <w:p w:rsidR="00CA1159" w:rsidRDefault="0068530C"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233F5F">
        <w:rPr>
          <w:rFonts w:ascii="Arial" w:hAnsi="Arial" w:cs="Arial" w:hint="cs"/>
          <w:color w:val="252525"/>
          <w:rtl/>
        </w:rPr>
        <w:t xml:space="preserve">או שהשרת יחזיר הודעה על שגיאה אם הייתה או שיחזיר את המידע שהלקוח ביקש. המידע יכיל תמיד את מזהה הקובץ, וכתובת </w:t>
      </w:r>
      <w:proofErr w:type="spellStart"/>
      <w:r w:rsidR="00233F5F">
        <w:rPr>
          <w:rFonts w:ascii="Arial" w:hAnsi="Arial" w:cs="Arial"/>
          <w:color w:val="252525"/>
        </w:rPr>
        <w:t>ip</w:t>
      </w:r>
      <w:proofErr w:type="spellEnd"/>
      <w:r w:rsidR="00233F5F">
        <w:rPr>
          <w:rFonts w:ascii="Arial" w:hAnsi="Arial" w:cs="Arial" w:hint="cs"/>
          <w:color w:val="252525"/>
          <w:rtl/>
        </w:rPr>
        <w:t>. אם הלקוח הוא 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הלקוח 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w:t>
      </w:r>
      <w:r w:rsidR="00786F2C">
        <w:rPr>
          <w:rFonts w:ascii="Arial" w:hAnsi="Arial" w:cs="Arial" w:hint="cs"/>
          <w:color w:val="252525"/>
          <w:rtl/>
        </w:rPr>
        <w:t xml:space="preserve"> כל המידע יילקח מהטבלאות ששמורות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בקשה:</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 xml:space="preserve">מחרוזת באורך 20 תוים 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מספר הפורט שעליו הלקוח מאזין ומחקה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תגובה:</w:t>
      </w:r>
    </w:p>
    <w:p w:rsidR="00485A2A" w:rsidRPr="00485A2A" w:rsidRDefault="00485A2A" w:rsidP="00485A2A">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68530C"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החלק השני בשרת ה-</w:t>
      </w:r>
      <w:r>
        <w:rPr>
          <w:rFonts w:ascii="Arial" w:hAnsi="Arial" w:cs="Arial"/>
          <w:color w:val="252525"/>
        </w:rPr>
        <w:t>Tracker</w:t>
      </w:r>
      <w:r>
        <w:rPr>
          <w:rFonts w:ascii="Arial" w:hAnsi="Arial" w:cs="Arial" w:hint="cs"/>
          <w:color w:val="252525"/>
          <w:rtl/>
        </w:rPr>
        <w:t xml:space="preserve">. החלק אחראי על יצירת הטבלאות שמנהלות את המעלים ומורידים של הקובץ החדש. </w:t>
      </w:r>
    </w:p>
    <w:p w:rsidR="00485A2A" w:rsidRDefault="00485A2A" w:rsidP="00A72F8F">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Pr>
          <w:rFonts w:ascii="Arial" w:hAnsi="Arial" w:cs="Arial" w:hint="cs"/>
          <w:color w:val="252525"/>
          <w:rtl/>
        </w:rPr>
        <w:t>. בתגובה השרת יבנה את הטבלאות</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לטבלת המעלים (שבה יהיה רשום שיש בידיו את כל החלקים) וישלח לו בתגובה הודעת אישור או שגיאה אם קרתה.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המכילה את מזהה הלקוח. </w:t>
      </w:r>
    </w:p>
    <w:p w:rsidR="00485A2A" w:rsidRPr="00B3039D"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Pr>
          <w:rFonts w:ascii="Arial" w:hAnsi="Arial" w:cs="Arial" w:hint="cs"/>
          <w:b/>
          <w:bCs/>
          <w:color w:val="252525"/>
          <w:sz w:val="28"/>
          <w:szCs w:val="28"/>
          <w:u w:val="single"/>
          <w:rtl/>
        </w:rPr>
        <w:t>תגובה:</w:t>
      </w:r>
    </w:p>
    <w:p w:rsidR="00210B0B" w:rsidRPr="00210B0B" w:rsidRDefault="00210B0B"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w:t>
            </w:r>
            <w:bookmarkStart w:id="0" w:name="_GoBack"/>
            <w:bookmarkEnd w:id="0"/>
            <w:r>
              <w:rPr>
                <w:rFonts w:ascii="Arial" w:hAnsi="Arial" w:cs="Arial"/>
                <w:color w:val="252525"/>
                <w:sz w:val="28"/>
                <w:szCs w:val="28"/>
              </w:rPr>
              <w:t>nfo-Hash</w:t>
            </w:r>
          </w:p>
        </w:tc>
      </w:tr>
      <w:tr w:rsidR="00894B2D" w:rsidTr="00FF4915">
        <w:tc>
          <w:tcPr>
            <w:tcW w:w="4261"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TableGrid"/>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5004"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TableGrid"/>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FF4915"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F4915"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FF4915"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FF4915"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FF4915"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C18BEE2"/>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1077D0"/>
    <w:rsid w:val="00115692"/>
    <w:rsid w:val="001223DC"/>
    <w:rsid w:val="00143444"/>
    <w:rsid w:val="00165B12"/>
    <w:rsid w:val="00175030"/>
    <w:rsid w:val="0019647A"/>
    <w:rsid w:val="001C2628"/>
    <w:rsid w:val="001D4A89"/>
    <w:rsid w:val="001D7CAA"/>
    <w:rsid w:val="001F0350"/>
    <w:rsid w:val="001F6049"/>
    <w:rsid w:val="00210B0B"/>
    <w:rsid w:val="00233F5F"/>
    <w:rsid w:val="00245751"/>
    <w:rsid w:val="00254EA8"/>
    <w:rsid w:val="0026404C"/>
    <w:rsid w:val="002928F8"/>
    <w:rsid w:val="002A64FF"/>
    <w:rsid w:val="002B4A9E"/>
    <w:rsid w:val="002F3EEB"/>
    <w:rsid w:val="003011B3"/>
    <w:rsid w:val="00302189"/>
    <w:rsid w:val="00324DED"/>
    <w:rsid w:val="003359E9"/>
    <w:rsid w:val="0034669A"/>
    <w:rsid w:val="00372FA9"/>
    <w:rsid w:val="00395E84"/>
    <w:rsid w:val="003B5423"/>
    <w:rsid w:val="003C5C8E"/>
    <w:rsid w:val="003D5267"/>
    <w:rsid w:val="003F2083"/>
    <w:rsid w:val="003F4916"/>
    <w:rsid w:val="00400AB5"/>
    <w:rsid w:val="00410555"/>
    <w:rsid w:val="00415F68"/>
    <w:rsid w:val="00432443"/>
    <w:rsid w:val="00461373"/>
    <w:rsid w:val="004852B9"/>
    <w:rsid w:val="00485A2A"/>
    <w:rsid w:val="00486AA8"/>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C28A9"/>
    <w:rsid w:val="006E51D8"/>
    <w:rsid w:val="006F375A"/>
    <w:rsid w:val="006F6D6F"/>
    <w:rsid w:val="00700A18"/>
    <w:rsid w:val="00706143"/>
    <w:rsid w:val="00731B91"/>
    <w:rsid w:val="0075446F"/>
    <w:rsid w:val="00786F2C"/>
    <w:rsid w:val="00797D54"/>
    <w:rsid w:val="007C7314"/>
    <w:rsid w:val="007E0CD6"/>
    <w:rsid w:val="007E4C81"/>
    <w:rsid w:val="007F0715"/>
    <w:rsid w:val="00804874"/>
    <w:rsid w:val="008161B8"/>
    <w:rsid w:val="008256BC"/>
    <w:rsid w:val="008303E2"/>
    <w:rsid w:val="0083709B"/>
    <w:rsid w:val="00850888"/>
    <w:rsid w:val="00882AD1"/>
    <w:rsid w:val="00894B2D"/>
    <w:rsid w:val="00894DDA"/>
    <w:rsid w:val="008C3838"/>
    <w:rsid w:val="008C41D4"/>
    <w:rsid w:val="008D6031"/>
    <w:rsid w:val="008F68BA"/>
    <w:rsid w:val="00911135"/>
    <w:rsid w:val="00933235"/>
    <w:rsid w:val="00945A62"/>
    <w:rsid w:val="009513B8"/>
    <w:rsid w:val="00956A96"/>
    <w:rsid w:val="009712A0"/>
    <w:rsid w:val="00974216"/>
    <w:rsid w:val="00996431"/>
    <w:rsid w:val="009B4ABB"/>
    <w:rsid w:val="009B5903"/>
    <w:rsid w:val="009B5BF0"/>
    <w:rsid w:val="009E003D"/>
    <w:rsid w:val="009E552C"/>
    <w:rsid w:val="00A10142"/>
    <w:rsid w:val="00A153A2"/>
    <w:rsid w:val="00A16EBC"/>
    <w:rsid w:val="00A4591C"/>
    <w:rsid w:val="00A72F8F"/>
    <w:rsid w:val="00A76FCC"/>
    <w:rsid w:val="00A82671"/>
    <w:rsid w:val="00A86099"/>
    <w:rsid w:val="00A9640D"/>
    <w:rsid w:val="00AA5ECF"/>
    <w:rsid w:val="00AB45C2"/>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7889"/>
    <w:rsid w:val="00CA1159"/>
    <w:rsid w:val="00CA60AB"/>
    <w:rsid w:val="00CE0450"/>
    <w:rsid w:val="00CE06E7"/>
    <w:rsid w:val="00CE616A"/>
    <w:rsid w:val="00CE791D"/>
    <w:rsid w:val="00D00D46"/>
    <w:rsid w:val="00D01C24"/>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73A86"/>
    <w:rsid w:val="00E75C91"/>
    <w:rsid w:val="00E83A9E"/>
    <w:rsid w:val="00E861FF"/>
    <w:rsid w:val="00EB05E6"/>
    <w:rsid w:val="00EC597C"/>
    <w:rsid w:val="00EF02CD"/>
    <w:rsid w:val="00EF53E3"/>
    <w:rsid w:val="00F13DB3"/>
    <w:rsid w:val="00F51764"/>
    <w:rsid w:val="00F81660"/>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5211A-BE56-4BE9-966A-98A00341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6</Pages>
  <Words>1630</Words>
  <Characters>9294</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211</cp:revision>
  <dcterms:created xsi:type="dcterms:W3CDTF">2016-01-07T13:56:00Z</dcterms:created>
  <dcterms:modified xsi:type="dcterms:W3CDTF">2016-03-29T14:54:00Z</dcterms:modified>
</cp:coreProperties>
</file>