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A25D8" w14:textId="3A4BC921" w:rsidR="006813EF" w:rsidRPr="00CC3DB0" w:rsidRDefault="002E69F4" w:rsidP="002E69F4">
      <w:pPr>
        <w:jc w:val="center"/>
        <w:rPr>
          <w:rFonts w:cstheme="majorBidi"/>
          <w:b/>
          <w:bCs/>
          <w:sz w:val="56"/>
          <w:szCs w:val="56"/>
          <w:lang w:val="en-US"/>
        </w:rPr>
      </w:pPr>
      <w:r w:rsidRPr="00CC3DB0">
        <w:rPr>
          <w:rFonts w:cstheme="majorBidi"/>
          <w:b/>
          <w:bCs/>
          <w:sz w:val="56"/>
          <w:szCs w:val="56"/>
          <w:lang w:val="en-US"/>
        </w:rPr>
        <w:t>Supporting Information</w:t>
      </w:r>
    </w:p>
    <w:p w14:paraId="007E92FC" w14:textId="77777777" w:rsidR="00637E29" w:rsidRPr="00CD2325" w:rsidRDefault="00637E29" w:rsidP="00637E29">
      <w:pPr>
        <w:spacing w:after="0"/>
        <w:jc w:val="center"/>
        <w:rPr>
          <w:b/>
          <w:bCs/>
          <w:sz w:val="32"/>
          <w:szCs w:val="36"/>
        </w:rPr>
      </w:pPr>
      <w:r w:rsidRPr="00CD2325">
        <w:rPr>
          <w:b/>
          <w:bCs/>
          <w:sz w:val="32"/>
          <w:szCs w:val="36"/>
        </w:rPr>
        <w:t xml:space="preserve">Possible bond character effect on </w:t>
      </w:r>
      <w:bookmarkStart w:id="0" w:name="OLE_LINK1"/>
      <w:r w:rsidRPr="00CD2325">
        <w:rPr>
          <w:b/>
          <w:bCs/>
          <w:sz w:val="32"/>
          <w:szCs w:val="36"/>
        </w:rPr>
        <w:t>self-healing properties of materials for sustainable energy conversion</w:t>
      </w:r>
    </w:p>
    <w:p w14:paraId="12D98107" w14:textId="77777777" w:rsidR="00637E29" w:rsidRPr="00CD2325" w:rsidRDefault="00637E29" w:rsidP="00637E29">
      <w:pPr>
        <w:spacing w:after="0"/>
        <w:jc w:val="center"/>
        <w:rPr>
          <w:sz w:val="20"/>
          <w:szCs w:val="20"/>
          <w:vertAlign w:val="superscript"/>
        </w:rPr>
      </w:pPr>
      <w:r w:rsidRPr="00CD2325">
        <w:t>Yuval Mualem</w:t>
      </w:r>
      <w:r>
        <w:rPr>
          <w:vertAlign w:val="superscript"/>
        </w:rPr>
        <w:t>1</w:t>
      </w:r>
      <w:r w:rsidRPr="00CD2325">
        <w:rPr>
          <w:vertAlign w:val="superscript"/>
        </w:rPr>
        <w:t>,</w:t>
      </w:r>
      <w:r>
        <w:rPr>
          <w:vertAlign w:val="superscript"/>
        </w:rPr>
        <w:t>2</w:t>
      </w:r>
      <w:r w:rsidRPr="00CD2325">
        <w:t>, David Cahen</w:t>
      </w:r>
      <w:r>
        <w:rPr>
          <w:vertAlign w:val="superscript"/>
        </w:rPr>
        <w:t>3</w:t>
      </w:r>
      <w:r w:rsidRPr="00CD2325">
        <w:t>, Yevgeny Rakita</w:t>
      </w:r>
      <w:r>
        <w:rPr>
          <w:vertAlign w:val="superscript"/>
        </w:rPr>
        <w:t>4</w:t>
      </w:r>
      <w:r w:rsidRPr="00CD2325">
        <w:rPr>
          <w:vertAlign w:val="superscript"/>
        </w:rPr>
        <w:t>*</w:t>
      </w:r>
      <w:r w:rsidRPr="00CD2325">
        <w:t>, Hannah-Noa Barad</w:t>
      </w:r>
      <w:r>
        <w:rPr>
          <w:vertAlign w:val="superscript"/>
        </w:rPr>
        <w:t>1</w:t>
      </w:r>
      <w:r w:rsidRPr="00CD2325">
        <w:rPr>
          <w:vertAlign w:val="superscript"/>
        </w:rPr>
        <w:t>,</w:t>
      </w:r>
      <w:bookmarkEnd w:id="0"/>
      <w:r>
        <w:rPr>
          <w:vertAlign w:val="superscript"/>
        </w:rPr>
        <w:t>2</w:t>
      </w:r>
      <w:r w:rsidRPr="00CD2325">
        <w:rPr>
          <w:vertAlign w:val="superscript"/>
        </w:rPr>
        <w:t>*</w:t>
      </w:r>
    </w:p>
    <w:p w14:paraId="3D3794DA" w14:textId="77777777" w:rsidR="00637E29" w:rsidRPr="00CD2325" w:rsidRDefault="00637E29" w:rsidP="00637E29">
      <w:pPr>
        <w:spacing w:after="0"/>
        <w:rPr>
          <w:sz w:val="16"/>
          <w:szCs w:val="16"/>
        </w:rPr>
      </w:pPr>
      <w:r>
        <w:rPr>
          <w:sz w:val="16"/>
          <w:szCs w:val="16"/>
          <w:vertAlign w:val="superscript"/>
        </w:rPr>
        <w:t>1</w:t>
      </w:r>
      <w:r w:rsidRPr="00CD2325">
        <w:rPr>
          <w:sz w:val="16"/>
          <w:szCs w:val="16"/>
        </w:rPr>
        <w:t xml:space="preserve"> Department of Chemistry, and Institute of Nanotechnology &amp; Advanced Materials (BINA), Bar-Ilan University, 5290002 Ramat-Gan, Israel</w:t>
      </w:r>
    </w:p>
    <w:p w14:paraId="18565417" w14:textId="77777777" w:rsidR="00637E29" w:rsidRPr="00CD2325" w:rsidRDefault="00637E29" w:rsidP="00637E29">
      <w:pPr>
        <w:spacing w:after="0"/>
        <w:rPr>
          <w:sz w:val="16"/>
          <w:szCs w:val="16"/>
          <w:rtl/>
        </w:rPr>
      </w:pPr>
      <w:r>
        <w:rPr>
          <w:sz w:val="16"/>
          <w:szCs w:val="16"/>
          <w:vertAlign w:val="superscript"/>
        </w:rPr>
        <w:t>2</w:t>
      </w:r>
      <w:r w:rsidRPr="00CD2325">
        <w:rPr>
          <w:sz w:val="16"/>
          <w:szCs w:val="16"/>
        </w:rPr>
        <w:t xml:space="preserve"> Israel National Institute of Energy Storage (INIES), Ramat-Gan 5290002, Israel</w:t>
      </w:r>
    </w:p>
    <w:p w14:paraId="42E4ACE7" w14:textId="77777777" w:rsidR="00637E29" w:rsidRPr="00CD2325" w:rsidRDefault="00637E29" w:rsidP="00637E29">
      <w:pPr>
        <w:spacing w:after="0"/>
        <w:rPr>
          <w:sz w:val="16"/>
          <w:szCs w:val="16"/>
        </w:rPr>
      </w:pPr>
      <w:r>
        <w:rPr>
          <w:sz w:val="16"/>
          <w:szCs w:val="16"/>
          <w:vertAlign w:val="superscript"/>
        </w:rPr>
        <w:t>3</w:t>
      </w:r>
      <w:r w:rsidRPr="00CD2325">
        <w:rPr>
          <w:sz w:val="16"/>
          <w:szCs w:val="16"/>
        </w:rPr>
        <w:t xml:space="preserve"> Department of Molecular Chemistry &amp; Materials Science, Weizmann Institute of Science, Rehovot 7610001, Israel</w:t>
      </w:r>
    </w:p>
    <w:p w14:paraId="3239EFFF" w14:textId="7B4A6646" w:rsidR="00637E29" w:rsidRPr="00637E29" w:rsidRDefault="00637E29" w:rsidP="00637E29">
      <w:pPr>
        <w:spacing w:after="0"/>
      </w:pPr>
      <w:r>
        <w:rPr>
          <w:sz w:val="16"/>
          <w:szCs w:val="16"/>
          <w:vertAlign w:val="superscript"/>
        </w:rPr>
        <w:t>4</w:t>
      </w:r>
      <w:r w:rsidRPr="00CD2325">
        <w:rPr>
          <w:sz w:val="16"/>
          <w:szCs w:val="16"/>
        </w:rPr>
        <w:t xml:space="preserve"> Department of Materials Engineering, Ben Gurion University of the Negev, Be’er Sheva 8410501, Israel</w:t>
      </w:r>
      <w:r>
        <w:br w:type="page"/>
      </w:r>
    </w:p>
    <w:p w14:paraId="0EF71445" w14:textId="28CF4294" w:rsidR="002B46BD" w:rsidRDefault="002B46BD" w:rsidP="002B46BD">
      <w:pPr>
        <w:pStyle w:val="Heading2"/>
        <w:numPr>
          <w:ilvl w:val="0"/>
          <w:numId w:val="0"/>
        </w:numPr>
        <w:ind w:left="576" w:hanging="576"/>
      </w:pPr>
      <w:r>
        <w:lastRenderedPageBreak/>
        <w:t>Section 1: Definition of Relative Structural Polarization</w:t>
      </w:r>
    </w:p>
    <w:p w14:paraId="4E57A7B4" w14:textId="77777777" w:rsidR="00BE1CC9" w:rsidRDefault="002B46BD" w:rsidP="00BE1CC9">
      <w:pPr>
        <w:rPr>
          <w:lang w:val="en-US"/>
        </w:rPr>
      </w:pPr>
      <w:r>
        <w:t xml:space="preserve">Every material, under perturbation of an external electric field, will experience displacement of both ions and electrons, that will oppose the applied field.  </w:t>
      </w:r>
      <w:r w:rsidRPr="009B6110">
        <w:t xml:space="preserve">The total polarization that opposes </w:t>
      </w:r>
      <w:r>
        <w:t>an</w:t>
      </w:r>
      <w:r w:rsidRPr="009B6110">
        <w:t xml:space="preserve"> applied electric field, </w:t>
      </w:r>
      <m:oMath>
        <m:acc>
          <m:accPr>
            <m:chr m:val="⃗"/>
            <m:ctrlPr>
              <w:rPr>
                <w:rFonts w:ascii="Cambria Math" w:hAnsi="Cambria Math"/>
                <w:i/>
              </w:rPr>
            </m:ctrlPr>
          </m:accPr>
          <m:e>
            <m:r>
              <w:rPr>
                <w:rFonts w:ascii="Cambria Math" w:hAnsi="Cambria Math"/>
              </w:rPr>
              <m:t>E</m:t>
            </m:r>
          </m:e>
        </m:acc>
      </m:oMath>
      <w:r w:rsidRPr="009B6110">
        <w:t xml:space="preserve">, will be proportional to the induced polarization density, </w:t>
      </w:r>
      <m:oMath>
        <m:acc>
          <m:accPr>
            <m:chr m:val="⃗"/>
            <m:ctrlPr>
              <w:rPr>
                <w:rFonts w:ascii="Cambria Math" w:hAnsi="Cambria Math"/>
                <w:i/>
              </w:rPr>
            </m:ctrlPr>
          </m:accPr>
          <m:e>
            <m:r>
              <w:rPr>
                <w:rFonts w:ascii="Cambria Math" w:hAnsi="Cambria Math"/>
              </w:rPr>
              <m:t>P</m:t>
            </m:r>
          </m:e>
        </m:acc>
      </m:oMath>
      <w:r w:rsidRPr="009B6110">
        <w:t xml:space="preserve">, which is the sum of dipole moments normalized to volume. Between every two atoms </w:t>
      </w:r>
      <m:oMath>
        <m:r>
          <w:rPr>
            <w:rFonts w:ascii="Cambria Math" w:hAnsi="Cambria Math"/>
          </w:rPr>
          <m:t>i</m:t>
        </m:r>
      </m:oMath>
      <w:r w:rsidRPr="009B6110">
        <w:t xml:space="preserve"> and </w:t>
      </w:r>
      <m:oMath>
        <m:r>
          <w:rPr>
            <w:rFonts w:ascii="Cambria Math" w:hAnsi="Cambria Math"/>
          </w:rPr>
          <m:t>j</m:t>
        </m:r>
      </m:oMath>
      <w:r w:rsidRPr="009B6110">
        <w:t xml:space="preserve"> we can write the dipole moment, </w:t>
      </w:r>
      <m:oMath>
        <m:acc>
          <m:accPr>
            <m:chr m:val="⃗"/>
            <m:ctrlPr>
              <w:rPr>
                <w:rFonts w:ascii="Cambria Math" w:hAnsi="Cambria Math"/>
              </w:rPr>
            </m:ctrlPr>
          </m:accPr>
          <m:e>
            <m:r>
              <w:rPr>
                <w:rFonts w:ascii="Cambria Math" w:hAnsi="Cambria Math"/>
              </w:rPr>
              <m:t>p</m:t>
            </m:r>
          </m:e>
        </m:acc>
        <m:r>
          <w:rPr>
            <w:rFonts w:ascii="Cambria Math" w:hAnsi="Cambria Math"/>
          </w:rPr>
          <m:t xml:space="preserve">, </m:t>
        </m:r>
      </m:oMath>
      <w:r w:rsidRPr="009B6110">
        <w:t xml:space="preserve"> and the polarization vector, </w:t>
      </w:r>
      <m:oMath>
        <m:acc>
          <m:accPr>
            <m:chr m:val="⃗"/>
            <m:ctrlPr>
              <w:rPr>
                <w:rFonts w:ascii="Cambria Math" w:hAnsi="Cambria Math"/>
              </w:rPr>
            </m:ctrlPr>
          </m:accPr>
          <m:e>
            <m:r>
              <w:rPr>
                <w:rFonts w:ascii="Cambria Math" w:hAnsi="Cambria Math"/>
              </w:rPr>
              <m:t>P</m:t>
            </m:r>
          </m:e>
        </m:acc>
        <m:r>
          <w:rPr>
            <w:rFonts w:ascii="Cambria Math" w:hAnsi="Cambria Math"/>
          </w:rPr>
          <m:t>,</m:t>
        </m:r>
      </m:oMath>
      <w:r w:rsidRPr="009B6110">
        <w:t xml:space="preserve"> as:</w:t>
      </w:r>
    </w:p>
    <w:p w14:paraId="7BA72D75" w14:textId="4C29313D" w:rsidR="00BE1CC9" w:rsidRPr="00BE1CC9" w:rsidRDefault="00000000" w:rsidP="00BE1CC9">
      <m:oMathPara>
        <m:oMath>
          <m:eqArr>
            <m:eqArrPr>
              <m:maxDist m:val="1"/>
              <m:ctrlPr>
                <w:rPr>
                  <w:rFonts w:ascii="Cambria Math" w:hAnsi="Cambria Math"/>
                  <w:i/>
                </w:rPr>
              </m:ctrlPr>
            </m:eqArrPr>
            <m:e>
              <m:acc>
                <m:accPr>
                  <m:chr m:val="⃗"/>
                  <m:ctrlPr>
                    <w:rPr>
                      <w:rFonts w:ascii="Cambria Math" w:hAnsi="Cambria Math"/>
                    </w:rPr>
                  </m:ctrlPr>
                </m:accPr>
                <m:e>
                  <m:r>
                    <w:rPr>
                      <w:rFonts w:ascii="Cambria Math" w:hAnsi="Cambria Math"/>
                    </w:rPr>
                    <m:t>p</m:t>
                  </m:r>
                </m:e>
              </m:acc>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w:rPr>
                  <w:rFonts w:ascii="Cambria Math" w:hAnsi="Cambria Math"/>
                </w:rPr>
                <m:t>#</m:t>
              </m:r>
              <m:d>
                <m:dPr>
                  <m:ctrlPr>
                    <w:rPr>
                      <w:rFonts w:ascii="Cambria Math" w:hAnsi="Cambria Math"/>
                      <w:i/>
                    </w:rPr>
                  </m:ctrlPr>
                </m:dPr>
                <m:e>
                  <m:r>
                    <w:rPr>
                      <w:rFonts w:ascii="Cambria Math" w:hAnsi="Cambria Math"/>
                    </w:rPr>
                    <m:t>Eq. 1</m:t>
                  </m:r>
                </m:e>
              </m:d>
            </m:e>
          </m:eqArr>
        </m:oMath>
      </m:oMathPara>
    </w:p>
    <w:p w14:paraId="5A67E344" w14:textId="30190D8A" w:rsidR="00BE1CC9" w:rsidRPr="00BE1CC9" w:rsidRDefault="00000000" w:rsidP="00BE1CC9">
      <w:pPr>
        <w:rPr>
          <w:rFonts w:eastAsiaTheme="minorEastAsia"/>
        </w:rPr>
      </w:pPr>
      <m:oMathPara>
        <m:oMath>
          <m:eqArr>
            <m:eqArrPr>
              <m:maxDist m:val="1"/>
              <m:ctrlPr>
                <w:rPr>
                  <w:rFonts w:ascii="Cambria Math" w:hAnsi="Cambria Math"/>
                  <w:i/>
                </w:rPr>
              </m:ctrlPr>
            </m:eqArrPr>
            <m:e>
              <m:acc>
                <m:accPr>
                  <m:chr m:val="⃗"/>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ρ</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e>
              </m:nary>
              <m:r>
                <w:rPr>
                  <w:rFonts w:ascii="Cambria Math" w:hAnsi="Cambria Math"/>
                </w:rPr>
                <m:t>#</m:t>
              </m:r>
              <m:d>
                <m:dPr>
                  <m:ctrlPr>
                    <w:rPr>
                      <w:rFonts w:ascii="Cambria Math" w:hAnsi="Cambria Math"/>
                      <w:i/>
                    </w:rPr>
                  </m:ctrlPr>
                </m:dPr>
                <m:e>
                  <m:r>
                    <w:rPr>
                      <w:rFonts w:ascii="Cambria Math" w:hAnsi="Cambria Math"/>
                    </w:rPr>
                    <m:t>Eq. 2</m:t>
                  </m:r>
                </m:e>
              </m:d>
            </m:e>
          </m:eqArr>
        </m:oMath>
      </m:oMathPara>
    </w:p>
    <w:p w14:paraId="2328CA9F" w14:textId="77777777" w:rsidR="002B46BD" w:rsidRDefault="002B46BD" w:rsidP="002B46BD">
      <w:r w:rsidRPr="009B6110">
        <w:t xml:space="preserve">where </w:t>
      </w:r>
      <m:oMath>
        <m:sSub>
          <m:sSubPr>
            <m:ctrlPr>
              <w:rPr>
                <w:rFonts w:ascii="Cambria Math" w:hAnsi="Cambria Math"/>
                <w:i/>
              </w:rPr>
            </m:ctrlPr>
          </m:sSubPr>
          <m:e>
            <m:r>
              <w:rPr>
                <w:rFonts w:ascii="Cambria Math" w:hAnsi="Cambria Math"/>
              </w:rPr>
              <m:t>q</m:t>
            </m:r>
          </m:e>
          <m:sub>
            <m:r>
              <w:rPr>
                <w:rFonts w:ascii="Cambria Math" w:hAnsi="Cambria Math"/>
              </w:rPr>
              <m:t>ij</m:t>
            </m:r>
          </m:sub>
        </m:sSub>
      </m:oMath>
      <w:r w:rsidRPr="009B6110">
        <w:t xml:space="preserve"> , </w:t>
      </w:r>
      <m:oMath>
        <m:sSub>
          <m:sSubPr>
            <m:ctrlPr>
              <w:rPr>
                <w:rFonts w:ascii="Cambria Math" w:hAnsi="Cambria Math"/>
                <w:i/>
              </w:rPr>
            </m:ctrlPr>
          </m:sSubPr>
          <m:e>
            <m:r>
              <w:rPr>
                <w:rFonts w:ascii="Cambria Math" w:hAnsi="Cambria Math"/>
              </w:rPr>
              <m:t>r</m:t>
            </m:r>
          </m:e>
          <m:sub>
            <m:r>
              <w:rPr>
                <w:rFonts w:ascii="Cambria Math" w:hAnsi="Cambria Math"/>
              </w:rPr>
              <m:t>ij,</m:t>
            </m:r>
          </m:sub>
        </m:sSub>
      </m:oMath>
      <w:r w:rsidRPr="009B6110">
        <w:t xml:space="preserve"> and  </w:t>
      </w:r>
      <m:oMath>
        <m:r>
          <w:rPr>
            <w:rFonts w:ascii="Cambria Math" w:hAnsi="Cambria Math"/>
          </w:rPr>
          <m:t>ρ</m:t>
        </m:r>
      </m:oMath>
      <w:r w:rsidRPr="009B6110">
        <w:t xml:space="preserve"> are the magnitude of the charge separation, the distance between the charges, and the volume density, respectively. </w:t>
      </w:r>
      <w:r>
        <w:t>Assuming an oscillating perturbation, t</w:t>
      </w:r>
      <w:r w:rsidRPr="009B6110">
        <w:t xml:space="preserve">he polarization at frequency </w:t>
      </w:r>
      <m:oMath>
        <m:r>
          <w:rPr>
            <w:rFonts w:ascii="Cambria Math" w:hAnsi="Cambria Math"/>
          </w:rPr>
          <m:t xml:space="preserve">ω, </m:t>
        </m:r>
        <m:acc>
          <m:accPr>
            <m:chr m:val="⃗"/>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ω</m:t>
            </m:r>
          </m:e>
        </m:d>
        <m:r>
          <w:rPr>
            <w:rFonts w:ascii="Cambria Math" w:hAnsi="Cambria Math"/>
          </w:rPr>
          <m:t>,</m:t>
        </m:r>
      </m:oMath>
      <w:r w:rsidRPr="009B6110">
        <w:t xml:space="preserve"> will then be:</w:t>
      </w:r>
    </w:p>
    <w:p w14:paraId="547C1172" w14:textId="00340B46" w:rsidR="00BE1CC9" w:rsidRPr="00BE1CC9" w:rsidRDefault="00000000" w:rsidP="00BE1CC9">
      <w:pPr>
        <w:rPr>
          <w:rFonts w:eastAsiaTheme="minorEastAsia"/>
        </w:rPr>
      </w:pPr>
      <m:oMathPara>
        <m:oMath>
          <m:eqArr>
            <m:eqArrPr>
              <m:maxDist m:val="1"/>
              <m:ctrlPr>
                <w:rPr>
                  <w:rFonts w:ascii="Latin Modern Math" w:hAnsi="Latin Modern Math"/>
                  <w:i/>
                </w:rPr>
              </m:ctrlPr>
            </m:eqArrPr>
            <m:e>
              <m:acc>
                <m:accPr>
                  <m:chr m:val="⃗"/>
                  <m:ctrlPr>
                    <w:rPr>
                      <w:rFonts w:ascii="Latin Modern Math" w:hAnsi="Latin Modern Math"/>
                      <w:i/>
                    </w:rPr>
                  </m:ctrlPr>
                </m:accPr>
                <m:e>
                  <m:r>
                    <w:rPr>
                      <w:rFonts w:ascii="Latin Modern Math" w:hAnsi="Latin Modern Math"/>
                    </w:rPr>
                    <m:t>P</m:t>
                  </m:r>
                </m:e>
              </m:acc>
              <m:d>
                <m:dPr>
                  <m:ctrlPr>
                    <w:rPr>
                      <w:rFonts w:ascii="Latin Modern Math" w:hAnsi="Latin Modern Math"/>
                      <w:i/>
                    </w:rPr>
                  </m:ctrlPr>
                </m:dPr>
                <m:e>
                  <m:r>
                    <w:rPr>
                      <w:rFonts w:ascii="Latin Modern Math" w:hAnsi="Latin Modern Math"/>
                    </w:rPr>
                    <m:t>ω</m:t>
                  </m:r>
                </m:e>
              </m:d>
              <m:r>
                <w:rPr>
                  <w:rFonts w:ascii="Latin Modern Math" w:hAnsi="Latin Modern Math"/>
                </w:rPr>
                <m:t>=</m:t>
              </m:r>
              <m:sSub>
                <m:sSubPr>
                  <m:ctrlPr>
                    <w:rPr>
                      <w:rFonts w:ascii="Latin Modern Math" w:hAnsi="Latin Modern Math"/>
                      <w:i/>
                    </w:rPr>
                  </m:ctrlPr>
                </m:sSubPr>
                <m:e>
                  <m:r>
                    <w:rPr>
                      <w:rFonts w:ascii="Latin Modern Math" w:hAnsi="Latin Modern Math"/>
                    </w:rPr>
                    <m:t>ε</m:t>
                  </m:r>
                </m:e>
                <m:sub>
                  <m:r>
                    <w:rPr>
                      <w:rFonts w:ascii="Latin Modern Math" w:hAnsi="Latin Modern Math"/>
                    </w:rPr>
                    <m:t>0</m:t>
                  </m:r>
                </m:sub>
              </m:sSub>
              <m:sSub>
                <m:sSubPr>
                  <m:ctrlPr>
                    <w:rPr>
                      <w:rFonts w:ascii="Latin Modern Math" w:hAnsi="Latin Modern Math"/>
                      <w:i/>
                    </w:rPr>
                  </m:ctrlPr>
                </m:sSubPr>
                <m:e>
                  <m:r>
                    <w:rPr>
                      <w:rFonts w:ascii="Latin Modern Math" w:hAnsi="Latin Modern Math"/>
                    </w:rPr>
                    <m:t>χ</m:t>
                  </m:r>
                </m:e>
                <m:sub>
                  <m:r>
                    <w:rPr>
                      <w:rFonts w:ascii="Latin Modern Math" w:hAnsi="Latin Modern Math"/>
                    </w:rPr>
                    <m:t>r</m:t>
                  </m:r>
                </m:sub>
              </m:sSub>
              <m:d>
                <m:dPr>
                  <m:ctrlPr>
                    <w:rPr>
                      <w:rFonts w:ascii="Latin Modern Math" w:hAnsi="Latin Modern Math"/>
                      <w:i/>
                    </w:rPr>
                  </m:ctrlPr>
                </m:dPr>
                <m:e>
                  <m:r>
                    <w:rPr>
                      <w:rFonts w:ascii="Latin Modern Math" w:hAnsi="Latin Modern Math"/>
                    </w:rPr>
                    <m:t>ω</m:t>
                  </m:r>
                </m:e>
              </m:d>
              <m:acc>
                <m:accPr>
                  <m:chr m:val="⃗"/>
                  <m:ctrlPr>
                    <w:rPr>
                      <w:rFonts w:ascii="Latin Modern Math" w:hAnsi="Latin Modern Math"/>
                      <w:i/>
                    </w:rPr>
                  </m:ctrlPr>
                </m:accPr>
                <m:e>
                  <m:r>
                    <w:rPr>
                      <w:rFonts w:ascii="Latin Modern Math" w:hAnsi="Latin Modern Math"/>
                    </w:rPr>
                    <m:t>E</m:t>
                  </m:r>
                </m:e>
              </m:acc>
              <m:d>
                <m:dPr>
                  <m:ctrlPr>
                    <w:rPr>
                      <w:rFonts w:ascii="Latin Modern Math" w:hAnsi="Latin Modern Math"/>
                      <w:i/>
                    </w:rPr>
                  </m:ctrlPr>
                </m:dPr>
                <m:e>
                  <m:r>
                    <w:rPr>
                      <w:rFonts w:ascii="Latin Modern Math" w:hAnsi="Latin Modern Math"/>
                    </w:rPr>
                    <m:t>w</m:t>
                  </m:r>
                </m:e>
              </m:d>
              <m:r>
                <w:rPr>
                  <w:rFonts w:ascii="Latin Modern Math" w:hAnsi="Latin Modern Math"/>
                </w:rPr>
                <m:t>=</m:t>
              </m:r>
              <m:sSub>
                <m:sSubPr>
                  <m:ctrlPr>
                    <w:rPr>
                      <w:rFonts w:ascii="Latin Modern Math" w:hAnsi="Latin Modern Math"/>
                      <w:i/>
                    </w:rPr>
                  </m:ctrlPr>
                </m:sSubPr>
                <m:e>
                  <m:r>
                    <w:rPr>
                      <w:rFonts w:ascii="Latin Modern Math" w:hAnsi="Latin Modern Math"/>
                    </w:rPr>
                    <m:t>ε</m:t>
                  </m:r>
                </m:e>
                <m:sub>
                  <m:r>
                    <w:rPr>
                      <w:rFonts w:ascii="Latin Modern Math" w:hAnsi="Latin Modern Math"/>
                    </w:rPr>
                    <m:t>0</m:t>
                  </m:r>
                </m:sub>
              </m:sSub>
              <m:d>
                <m:dPr>
                  <m:ctrlPr>
                    <w:rPr>
                      <w:rFonts w:ascii="Latin Modern Math" w:hAnsi="Latin Modern Math"/>
                      <w:i/>
                    </w:rPr>
                  </m:ctrlPr>
                </m:dPr>
                <m:e>
                  <m:sSub>
                    <m:sSubPr>
                      <m:ctrlPr>
                        <w:rPr>
                          <w:rFonts w:ascii="Latin Modern Math" w:hAnsi="Latin Modern Math"/>
                          <w:i/>
                        </w:rPr>
                      </m:ctrlPr>
                    </m:sSubPr>
                    <m:e>
                      <m:r>
                        <w:rPr>
                          <w:rFonts w:ascii="Latin Modern Math" w:hAnsi="Latin Modern Math"/>
                        </w:rPr>
                        <m:t>ε</m:t>
                      </m:r>
                    </m:e>
                    <m:sub>
                      <m:r>
                        <w:rPr>
                          <w:rFonts w:ascii="Latin Modern Math" w:hAnsi="Latin Modern Math"/>
                        </w:rPr>
                        <m:t>r</m:t>
                      </m:r>
                    </m:sub>
                  </m:sSub>
                  <m:d>
                    <m:dPr>
                      <m:ctrlPr>
                        <w:rPr>
                          <w:rFonts w:ascii="Latin Modern Math" w:hAnsi="Latin Modern Math"/>
                          <w:i/>
                        </w:rPr>
                      </m:ctrlPr>
                    </m:dPr>
                    <m:e>
                      <m:r>
                        <w:rPr>
                          <w:rFonts w:ascii="Latin Modern Math" w:hAnsi="Latin Modern Math"/>
                        </w:rPr>
                        <m:t>ω</m:t>
                      </m:r>
                    </m:e>
                  </m:d>
                  <m:r>
                    <w:rPr>
                      <w:rFonts w:ascii="Latin Modern Math" w:hAnsi="Latin Modern Math"/>
                    </w:rPr>
                    <m:t>-1</m:t>
                  </m:r>
                </m:e>
              </m:d>
              <m:r>
                <w:rPr>
                  <w:rFonts w:ascii="Latin Modern Math" w:hAnsi="Latin Modern Math"/>
                </w:rPr>
                <m:t>⋅</m:t>
              </m:r>
              <m:acc>
                <m:accPr>
                  <m:chr m:val="⃗"/>
                  <m:ctrlPr>
                    <w:rPr>
                      <w:rFonts w:ascii="Latin Modern Math" w:hAnsi="Latin Modern Math"/>
                      <w:i/>
                    </w:rPr>
                  </m:ctrlPr>
                </m:accPr>
                <m:e>
                  <m:r>
                    <w:rPr>
                      <w:rFonts w:ascii="Latin Modern Math" w:hAnsi="Latin Modern Math"/>
                    </w:rPr>
                    <m:t>E</m:t>
                  </m:r>
                </m:e>
              </m:acc>
              <m:d>
                <m:dPr>
                  <m:ctrlPr>
                    <w:rPr>
                      <w:rFonts w:ascii="Latin Modern Math" w:hAnsi="Latin Modern Math"/>
                      <w:i/>
                    </w:rPr>
                  </m:ctrlPr>
                </m:dPr>
                <m:e>
                  <m:r>
                    <w:rPr>
                      <w:rFonts w:ascii="Latin Modern Math" w:hAnsi="Latin Modern Math"/>
                    </w:rPr>
                    <m:t>w</m:t>
                  </m:r>
                </m:e>
              </m:d>
              <m:r>
                <w:rPr>
                  <w:rFonts w:ascii="Latin Modern Math" w:hAnsi="Latin Modern Math"/>
                </w:rPr>
                <m:t>#</m:t>
              </m:r>
              <m:d>
                <m:dPr>
                  <m:ctrlPr>
                    <w:rPr>
                      <w:rFonts w:ascii="Latin Modern Math" w:hAnsi="Latin Modern Math"/>
                      <w:i/>
                    </w:rPr>
                  </m:ctrlPr>
                </m:dPr>
                <m:e>
                  <m:r>
                    <w:rPr>
                      <w:rFonts w:ascii="Latin Modern Math" w:hAnsi="Latin Modern Math"/>
                    </w:rPr>
                    <m:t>Eq. 3</m:t>
                  </m:r>
                </m:e>
              </m:d>
            </m:e>
          </m:eqArr>
        </m:oMath>
      </m:oMathPara>
    </w:p>
    <w:p w14:paraId="56A3C03F" w14:textId="16768AC6" w:rsidR="002B46BD" w:rsidRPr="009B6110" w:rsidRDefault="002B46BD" w:rsidP="002B46BD">
      <w:r w:rsidRPr="009B6110">
        <w:t xml:space="preserve">where </w:t>
      </w:r>
      <m:oMath>
        <m:sSub>
          <m:sSubPr>
            <m:ctrlPr>
              <w:rPr>
                <w:rFonts w:ascii="Cambria Math" w:hAnsi="Cambria Math"/>
                <w:i/>
              </w:rPr>
            </m:ctrlPr>
          </m:sSubPr>
          <m:e>
            <m:r>
              <w:rPr>
                <w:rFonts w:ascii="Cambria Math" w:hAnsi="Cambria Math"/>
              </w:rPr>
              <m:t>ε</m:t>
            </m:r>
          </m:e>
          <m:sub>
            <m:r>
              <w:rPr>
                <w:rFonts w:ascii="Cambria Math" w:hAnsi="Cambria Math"/>
              </w:rPr>
              <m:t>0</m:t>
            </m:r>
          </m:sub>
        </m:sSub>
      </m:oMath>
      <w:r w:rsidRPr="009B6110">
        <w:t xml:space="preserve">,  </w:t>
      </w:r>
      <m:oMath>
        <m:sSub>
          <m:sSubPr>
            <m:ctrlPr>
              <w:rPr>
                <w:rFonts w:ascii="Cambria Math" w:hAnsi="Cambria Math"/>
                <w:i/>
              </w:rPr>
            </m:ctrlPr>
          </m:sSubPr>
          <m:e>
            <m:r>
              <w:rPr>
                <w:rFonts w:ascii="Cambria Math" w:hAnsi="Cambria Math"/>
              </w:rPr>
              <m:t>ε</m:t>
            </m:r>
          </m:e>
          <m:sub>
            <m:r>
              <w:rPr>
                <w:rFonts w:ascii="Cambria Math" w:hAnsi="Cambria Math"/>
              </w:rPr>
              <m:t>r</m:t>
            </m:r>
          </m:sub>
        </m:sSub>
      </m:oMath>
      <w:r>
        <w:rPr>
          <w:rFonts w:eastAsiaTheme="minorEastAsia"/>
        </w:rPr>
        <w:t>,</w:t>
      </w:r>
      <w:r w:rsidRPr="009B6110">
        <w:t xml:space="preserve"> and </w:t>
      </w:r>
      <m:oMath>
        <m:sSub>
          <m:sSubPr>
            <m:ctrlPr>
              <w:rPr>
                <w:rFonts w:ascii="Cambria Math" w:hAnsi="Cambria Math"/>
                <w:i/>
              </w:rPr>
            </m:ctrlPr>
          </m:sSubPr>
          <m:e>
            <m:r>
              <w:rPr>
                <w:rFonts w:ascii="Cambria Math" w:hAnsi="Cambria Math"/>
              </w:rPr>
              <m:t>χ</m:t>
            </m:r>
          </m:e>
          <m:sub>
            <m:r>
              <w:rPr>
                <w:rFonts w:ascii="Cambria Math" w:hAnsi="Cambria Math"/>
              </w:rPr>
              <m:t>r</m:t>
            </m:r>
          </m:sub>
        </m:sSub>
      </m:oMath>
      <w:r w:rsidRPr="009B6110">
        <w:t xml:space="preserve"> are the vacuum permittivity, relative permittivity, and the electric susceptibility, respectively. The charge displacement with frequency, </w:t>
      </w:r>
      <m:oMath>
        <m:acc>
          <m:accPr>
            <m:chr m:val="⃗"/>
            <m:ctrlPr>
              <w:rPr>
                <w:rFonts w:ascii="Cambria Math" w:hAnsi="Cambria Math"/>
              </w:rPr>
            </m:ctrlPr>
          </m:accPr>
          <m:e>
            <m:r>
              <w:rPr>
                <w:rFonts w:ascii="Cambria Math" w:hAnsi="Cambria Math"/>
              </w:rPr>
              <m:t>D</m:t>
            </m:r>
          </m:e>
        </m:acc>
        <m:d>
          <m:dPr>
            <m:ctrlPr>
              <w:rPr>
                <w:rFonts w:ascii="Cambria Math" w:hAnsi="Cambria Math"/>
              </w:rPr>
            </m:ctrlPr>
          </m:dPr>
          <m:e>
            <m:r>
              <w:rPr>
                <w:rFonts w:ascii="Cambria Math" w:hAnsi="Cambria Math"/>
              </w:rPr>
              <m:t>ω</m:t>
            </m:r>
          </m:e>
        </m:d>
        <m:r>
          <w:rPr>
            <w:rFonts w:ascii="Cambria Math" w:hAnsi="Cambria Math"/>
          </w:rPr>
          <m:t>,</m:t>
        </m:r>
      </m:oMath>
      <w:r w:rsidRPr="009B6110">
        <w:t xml:space="preserve"> can then be written as</w:t>
      </w:r>
      <w:r w:rsidR="00AA0298">
        <w:t>:</w:t>
      </w:r>
      <w:r w:rsidR="00AA0298">
        <w:fldChar w:fldCharType="begin"/>
      </w:r>
      <w:r w:rsidR="00AA0298">
        <w:instrText xml:space="preserve"> ADDIN ZOTERO_ITEM CSL_CITATION {"citationID":"vMalEhTl","properties":{"formattedCitation":"\\super 1\\nosupersub{}","plainCitation":"1","noteIndex":0},"citationItems":[{"id":1522,"uris":["http://zotero.org/groups/5926661/items/MIIIVMHK"],"itemData":{"id":1522,"type":"book","edition":"4","publisher":"Cambridge University Press","title":"Introduction to Electrodynamics","author":[{"family":"Griffiths","given":"David J."}],"issued":{"date-parts":[["2017"]]}}}],"schema":"https://github.com/citation-style-language/schema/raw/master/csl-citation.json"} </w:instrText>
      </w:r>
      <w:r w:rsidR="00AA0298">
        <w:fldChar w:fldCharType="separate"/>
      </w:r>
      <w:r w:rsidR="00AA0298" w:rsidRPr="00AA0298">
        <w:rPr>
          <w:rFonts w:ascii="Times New Roman" w:hAnsi="Times New Roman" w:cs="Times New Roman"/>
          <w:kern w:val="0"/>
          <w:vertAlign w:val="superscript"/>
        </w:rPr>
        <w:t>1</w:t>
      </w:r>
      <w:r w:rsidR="00AA0298">
        <w:fldChar w:fldCharType="end"/>
      </w:r>
    </w:p>
    <w:p w14:paraId="34041D3C" w14:textId="1CE267FB" w:rsidR="00BE1CC9" w:rsidRPr="00BE1CC9" w:rsidRDefault="00000000" w:rsidP="00BE1CC9">
      <w:pPr>
        <w:rPr>
          <w:rFonts w:eastAsiaTheme="minorEastAsia"/>
        </w:rPr>
      </w:pPr>
      <m:oMathPara>
        <m:oMath>
          <m:eqArr>
            <m:eqArrPr>
              <m:maxDist m:val="1"/>
              <m:ctrlPr>
                <w:rPr>
                  <w:rFonts w:ascii="Cambria Math" w:hAnsi="Cambria Math"/>
                  <w:i/>
                </w:rPr>
              </m:ctrlPr>
            </m:eqArrPr>
            <m:e>
              <m:acc>
                <m:accPr>
                  <m:chr m:val="⃗"/>
                  <m:ctrlPr>
                    <w:rPr>
                      <w:rFonts w:ascii="Cambria Math" w:hAnsi="Cambria Math"/>
                    </w:rPr>
                  </m:ctrlPr>
                </m:accPr>
                <m:e>
                  <m:r>
                    <w:rPr>
                      <w:rFonts w:ascii="Cambria Math" w:hAnsi="Cambria Math"/>
                    </w:rPr>
                    <m:t>D</m:t>
                  </m:r>
                </m:e>
              </m:acc>
              <m:d>
                <m:dPr>
                  <m:ctrlPr>
                    <w:rPr>
                      <w:rFonts w:ascii="Cambria Math" w:hAnsi="Cambria Math"/>
                    </w:rPr>
                  </m:ctrlPr>
                </m:dPr>
                <m:e>
                  <m:r>
                    <w:rPr>
                      <w:rFonts w:ascii="Cambria Math" w:hAnsi="Cambria Math"/>
                    </w:rPr>
                    <m:t>ω</m:t>
                  </m:r>
                </m:e>
              </m:d>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0</m:t>
                  </m:r>
                </m:sub>
              </m:sSub>
              <m:acc>
                <m:accPr>
                  <m:chr m:val="⃗"/>
                  <m:ctrlPr>
                    <w:rPr>
                      <w:rFonts w:ascii="Cambria Math" w:hAnsi="Cambria Math"/>
                    </w:rPr>
                  </m:ctrlPr>
                </m:accPr>
                <m:e>
                  <m:r>
                    <w:rPr>
                      <w:rFonts w:ascii="Cambria Math" w:hAnsi="Cambria Math"/>
                    </w:rPr>
                    <m:t>E</m:t>
                  </m:r>
                </m:e>
              </m:acc>
              <m:d>
                <m:dPr>
                  <m:ctrlPr>
                    <w:rPr>
                      <w:rFonts w:ascii="Cambria Math" w:hAnsi="Cambria Math"/>
                    </w:rPr>
                  </m:ctrlPr>
                </m:dPr>
                <m:e>
                  <m:r>
                    <w:rPr>
                      <w:rFonts w:ascii="Cambria Math" w:hAnsi="Cambria Math"/>
                    </w:rPr>
                    <m:t>ω</m:t>
                  </m:r>
                </m:e>
              </m:d>
              <m:r>
                <m:rPr>
                  <m:sty m:val="p"/>
                </m:rPr>
                <w:rPr>
                  <w:rFonts w:ascii="Cambria Math" w:hAnsi="Cambria Math"/>
                </w:rPr>
                <m:t>+</m:t>
              </m:r>
              <m:acc>
                <m:accPr>
                  <m:chr m:val="⃗"/>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ω</m:t>
                  </m:r>
                </m:e>
              </m:d>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d>
                <m:dPr>
                  <m:ctrlPr>
                    <w:rPr>
                      <w:rFonts w:ascii="Cambria Math" w:hAnsi="Cambria Math"/>
                    </w:rPr>
                  </m:ctrlPr>
                </m:dPr>
                <m:e>
                  <m:r>
                    <w:rPr>
                      <w:rFonts w:ascii="Cambria Math" w:hAnsi="Cambria Math"/>
                    </w:rPr>
                    <m:t>ω</m:t>
                  </m:r>
                </m:e>
              </m:d>
              <m:acc>
                <m:accPr>
                  <m:chr m:val="⃗"/>
                  <m:ctrlPr>
                    <w:rPr>
                      <w:rFonts w:ascii="Cambria Math" w:hAnsi="Cambria Math"/>
                    </w:rPr>
                  </m:ctrlPr>
                </m:accPr>
                <m:e>
                  <m:r>
                    <w:rPr>
                      <w:rFonts w:ascii="Cambria Math" w:hAnsi="Cambria Math"/>
                    </w:rPr>
                    <m:t>E</m:t>
                  </m:r>
                </m:e>
              </m:acc>
              <m:d>
                <m:dPr>
                  <m:ctrlPr>
                    <w:rPr>
                      <w:rFonts w:ascii="Cambria Math" w:hAnsi="Cambria Math"/>
                    </w:rPr>
                  </m:ctrlPr>
                </m:dPr>
                <m:e>
                  <m:r>
                    <w:rPr>
                      <w:rFonts w:ascii="Cambria Math" w:hAnsi="Cambria Math"/>
                    </w:rPr>
                    <m:t>ω</m:t>
                  </m:r>
                </m:e>
              </m:d>
              <m:r>
                <w:rPr>
                  <w:rFonts w:ascii="Cambria Math" w:hAnsi="Cambria Math"/>
                </w:rPr>
                <m:t xml:space="preserve"> #</m:t>
              </m:r>
              <m:d>
                <m:dPr>
                  <m:ctrlPr>
                    <w:rPr>
                      <w:rFonts w:ascii="Cambria Math" w:hAnsi="Cambria Math"/>
                      <w:i/>
                    </w:rPr>
                  </m:ctrlPr>
                </m:dPr>
                <m:e>
                  <m:r>
                    <w:rPr>
                      <w:rFonts w:ascii="Cambria Math" w:hAnsi="Cambria Math"/>
                    </w:rPr>
                    <m:t>Eq. 4</m:t>
                  </m:r>
                </m:e>
              </m:d>
            </m:e>
          </m:eqArr>
        </m:oMath>
      </m:oMathPara>
    </w:p>
    <w:p w14:paraId="01793AF0" w14:textId="77777777" w:rsidR="00BE1CC9" w:rsidRDefault="002B46BD" w:rsidP="00BE1CC9">
      <w:pPr>
        <w:rPr>
          <w:i/>
        </w:rPr>
      </w:pPr>
      <w:r w:rsidRPr="00B459F8">
        <w:rPr>
          <w:iCs/>
        </w:rPr>
        <w:t>Now</w:t>
      </w:r>
      <w:r>
        <w:rPr>
          <w:iCs/>
        </w:rPr>
        <w:t xml:space="preserve"> let us</w:t>
      </w:r>
      <w:r w:rsidRPr="00B459F8">
        <w:rPr>
          <w:iCs/>
        </w:rPr>
        <w:t xml:space="preserve"> consider the total ‘polarizable’ charges</w:t>
      </w:r>
      <w:r>
        <w:rPr>
          <w:iCs/>
        </w:rPr>
        <w:t xml:space="preserve"> in bonds and bonded </w:t>
      </w:r>
      <w:proofErr w:type="gramStart"/>
      <w:r>
        <w:rPr>
          <w:iCs/>
        </w:rPr>
        <w:t xml:space="preserve">atoms, </w:t>
      </w:r>
      <w:r w:rsidRPr="00B459F8">
        <w:rPr>
          <w:iCs/>
        </w:rPr>
        <w:t>and</w:t>
      </w:r>
      <w:proofErr w:type="gramEnd"/>
      <w:r w:rsidRPr="00B459F8">
        <w:rPr>
          <w:iCs/>
        </w:rPr>
        <w:t xml:space="preserve"> </w:t>
      </w:r>
      <w:r>
        <w:rPr>
          <w:iCs/>
        </w:rPr>
        <w:t>separate</w:t>
      </w:r>
      <w:r w:rsidRPr="00B459F8">
        <w:rPr>
          <w:iCs/>
        </w:rPr>
        <w:t xml:space="preserve"> them in</w:t>
      </w:r>
      <w:r w:rsidRPr="001B1FFA">
        <w:rPr>
          <w:iCs/>
        </w:rPr>
        <w:t xml:space="preserve">to the electronic and structural (atomic) contributions. At different frequencies </w:t>
      </w:r>
      <m:oMath>
        <m:r>
          <m:rPr>
            <m:sty m:val="p"/>
          </m:rPr>
          <w:rPr>
            <w:rFonts w:ascii="Cambria Math" w:hAnsi="Cambria Math"/>
          </w:rPr>
          <m:t>ω</m:t>
        </m:r>
      </m:oMath>
      <w:r w:rsidRPr="001B1FFA">
        <w:rPr>
          <w:iCs/>
        </w:rPr>
        <w:t xml:space="preserve"> of the perturbing electric field, one may expect </w:t>
      </w:r>
      <w:r w:rsidRPr="00B459F8">
        <w:rPr>
          <w:iCs/>
        </w:rPr>
        <w:t xml:space="preserve">changes in the </w:t>
      </w:r>
      <w:r>
        <w:rPr>
          <w:iCs/>
        </w:rPr>
        <w:t xml:space="preserve">average </w:t>
      </w:r>
      <w:r w:rsidRPr="00B459F8">
        <w:rPr>
          <w:iCs/>
        </w:rPr>
        <w:t xml:space="preserve">total charge density between </w:t>
      </w:r>
      <w:proofErr w:type="spellStart"/>
      <w:r w:rsidRPr="00B459F8">
        <w:rPr>
          <w:iCs/>
        </w:rPr>
        <w:t>neighboring</w:t>
      </w:r>
      <w:proofErr w:type="spellEnd"/>
      <w:r w:rsidRPr="00B459F8">
        <w:rPr>
          <w:iCs/>
        </w:rPr>
        <w:t xml:space="preserve"> atoms by </w:t>
      </w:r>
      <m:oMath>
        <m:r>
          <m:rPr>
            <m:sty m:val="p"/>
          </m:rPr>
          <w:rPr>
            <w:rFonts w:ascii="Cambria Math" w:hAnsi="Cambria Math"/>
          </w:rPr>
          <m:t>d</m:t>
        </m:r>
        <m:sSub>
          <m:sSubPr>
            <m:ctrlPr>
              <w:rPr>
                <w:rFonts w:ascii="Cambria Math" w:hAnsi="Cambria Math"/>
                <w:iCs/>
              </w:rPr>
            </m:ctrlPr>
          </m:sSubPr>
          <m:e>
            <m:r>
              <m:rPr>
                <m:sty m:val="p"/>
              </m:rPr>
              <w:rPr>
                <w:rFonts w:ascii="Cambria Math" w:hAnsi="Cambria Math"/>
              </w:rPr>
              <m:t>(q</m:t>
            </m:r>
          </m:e>
          <m:sub>
            <m:r>
              <m:rPr>
                <m:sty m:val="p"/>
              </m:rPr>
              <w:rPr>
                <w:rFonts w:ascii="Cambria Math" w:hAnsi="Cambria Math"/>
              </w:rPr>
              <m:t>ij</m:t>
            </m:r>
          </m:sub>
        </m:sSub>
        <m:r>
          <m:rPr>
            <m:sty m:val="p"/>
          </m:rPr>
          <w:rPr>
            <w:rFonts w:ascii="Cambria Math" w:hAnsi="Cambria Math"/>
          </w:rPr>
          <m:t>)</m:t>
        </m:r>
      </m:oMath>
      <w:r w:rsidRPr="00B459F8">
        <w:rPr>
          <w:iCs/>
        </w:rPr>
        <w:t xml:space="preserve"> or a change in the</w:t>
      </w:r>
      <w:r>
        <w:rPr>
          <w:iCs/>
        </w:rPr>
        <w:t xml:space="preserve"> average</w:t>
      </w:r>
      <w:r w:rsidRPr="00B459F8">
        <w:rPr>
          <w:iCs/>
        </w:rPr>
        <w:t xml:space="preserve"> inter-</w:t>
      </w:r>
      <w:r>
        <w:rPr>
          <w:iCs/>
        </w:rPr>
        <w:t>atomic</w:t>
      </w:r>
      <w:r w:rsidRPr="00B459F8">
        <w:rPr>
          <w:iCs/>
        </w:rPr>
        <w:t xml:space="preserve"> distance by </w:t>
      </w:r>
      <m:oMath>
        <m:r>
          <m:rPr>
            <m:sty m:val="p"/>
          </m:rPr>
          <w:rPr>
            <w:rFonts w:ascii="Cambria Math" w:hAnsi="Cambria Math"/>
          </w:rPr>
          <m:t>d</m:t>
        </m:r>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ij</m:t>
            </m:r>
          </m:sub>
        </m:sSub>
        <m:r>
          <m:rPr>
            <m:sty m:val="p"/>
          </m:rPr>
          <w:rPr>
            <w:rFonts w:ascii="Cambria Math" w:hAnsi="Cambria Math"/>
          </w:rPr>
          <m:t>)</m:t>
        </m:r>
      </m:oMath>
      <w:r w:rsidRPr="001B1FFA">
        <w:rPr>
          <w:iCs/>
        </w:rPr>
        <w:t xml:space="preserve">. If we consider the same magnitude of the applied electric field but at different frequencies, the polarizability of each component should vary. At sufficiently high </w:t>
      </w:r>
      <w:r w:rsidRPr="00B459F8">
        <w:rPr>
          <w:iCs/>
        </w:rPr>
        <w:t>frequencies (</w:t>
      </w:r>
      <w:r>
        <w:rPr>
          <w:iCs/>
        </w:rPr>
        <w:t xml:space="preserve">typically at the THz range or above; </w:t>
      </w:r>
      <w:r w:rsidRPr="00B459F8">
        <w:rPr>
          <w:iCs/>
        </w:rPr>
        <w:t>noted as ‘</w:t>
      </w:r>
      <m:oMath>
        <m:r>
          <m:rPr>
            <m:sty m:val="p"/>
          </m:rPr>
          <w:rPr>
            <w:rFonts w:ascii="Cambria Math" w:hAnsi="Cambria Math"/>
          </w:rPr>
          <m:t>∞</m:t>
        </m:r>
      </m:oMath>
      <w:r w:rsidRPr="00B459F8">
        <w:rPr>
          <w:iCs/>
        </w:rPr>
        <w:t xml:space="preserve">’), </w:t>
      </w:r>
      <w:r>
        <w:rPr>
          <w:iCs/>
        </w:rPr>
        <w:t>the perturbing alternating field is faster than the nuclei motion</w:t>
      </w:r>
      <w:r w:rsidRPr="00B459F8">
        <w:rPr>
          <w:iCs/>
        </w:rPr>
        <w:t xml:space="preserve">, </w:t>
      </w:r>
      <w:r>
        <w:rPr>
          <w:iCs/>
        </w:rPr>
        <w:t xml:space="preserve">so </w:t>
      </w:r>
      <w:r w:rsidRPr="00B459F8">
        <w:rPr>
          <w:iCs/>
        </w:rPr>
        <w:t>we can write</w:t>
      </w:r>
      <w:r w:rsidRPr="009B6110">
        <w:rPr>
          <w:i/>
        </w:rPr>
        <w:t>:</w:t>
      </w:r>
    </w:p>
    <w:p w14:paraId="2CE641CE" w14:textId="208AD9E3" w:rsidR="00BE1CC9" w:rsidRPr="00BE1CC9" w:rsidRDefault="00000000" w:rsidP="00BE1CC9">
      <w:pPr>
        <w:rPr>
          <w:rFonts w:eastAsiaTheme="minorEastAsia"/>
          <w:i/>
        </w:rPr>
      </w:pPr>
      <m:oMathPara>
        <m:oMath>
          <m:eqArr>
            <m:eqArrPr>
              <m:maxDist m:val="1"/>
              <m:ctrlPr>
                <w:rPr>
                  <w:rFonts w:ascii="Latin Modern Math" w:hAnsi="Latin Modern Math"/>
                  <w:i/>
                </w:rPr>
              </m:ctrlPr>
            </m:eqArrPr>
            <m:e>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D</m:t>
                      </m:r>
                    </m:e>
                  </m:acc>
                  <m:d>
                    <m:dPr>
                      <m:ctrlPr>
                        <w:rPr>
                          <w:rFonts w:ascii="Cambria Math" w:hAnsi="Cambria Math"/>
                        </w:rPr>
                      </m:ctrlPr>
                    </m:dPr>
                    <m:e>
                      <m:r>
                        <m:rPr>
                          <m:sty m:val="p"/>
                        </m:rPr>
                        <w:rPr>
                          <w:rFonts w:ascii="Cambria Math" w:hAnsi="Cambria Math"/>
                        </w:rPr>
                        <m:t>∞</m:t>
                      </m:r>
                    </m:e>
                  </m:d>
                </m:num>
                <m:den>
                  <m:acc>
                    <m:accPr>
                      <m:chr m:val="⃗"/>
                      <m:ctrlPr>
                        <w:rPr>
                          <w:rFonts w:ascii="Cambria Math" w:hAnsi="Cambria Math"/>
                        </w:rPr>
                      </m:ctrlPr>
                    </m:accPr>
                    <m:e>
                      <m:r>
                        <w:rPr>
                          <w:rFonts w:ascii="Cambria Math" w:hAnsi="Cambria Math"/>
                        </w:rPr>
                        <m:t>E</m:t>
                      </m:r>
                    </m:e>
                  </m:acc>
                </m:den>
              </m:f>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elec</m:t>
                      </m:r>
                    </m:sub>
                  </m:sSub>
                </m:num>
                <m:den>
                  <m:acc>
                    <m:accPr>
                      <m:chr m:val="⃗"/>
                      <m:ctrlPr>
                        <w:rPr>
                          <w:rFonts w:ascii="Cambria Math" w:hAnsi="Cambria Math"/>
                        </w:rPr>
                      </m:ctrlPr>
                    </m:accPr>
                    <m:e>
                      <m:r>
                        <w:rPr>
                          <w:rFonts w:ascii="Cambria Math" w:hAnsi="Cambria Math"/>
                        </w:rPr>
                        <m:t>E</m:t>
                      </m:r>
                    </m:e>
                  </m:acc>
                </m:den>
              </m:f>
              <m:r>
                <m:rPr>
                  <m:sty m:val="p"/>
                </m:rPr>
                <w:rPr>
                  <w:rFonts w:ascii="Cambria Math" w:hAnsi="Cambria Math"/>
                </w:rPr>
                <m:t xml:space="preserve"> = </m:t>
              </m:r>
              <m:sSub>
                <m:sSubPr>
                  <m:ctrlPr>
                    <w:rPr>
                      <w:rFonts w:ascii="Cambria Math" w:hAnsi="Cambria Math"/>
                    </w:rPr>
                  </m:ctrlPr>
                </m:sSubPr>
                <m:e>
                  <m:r>
                    <w:rPr>
                      <w:rFonts w:ascii="Cambria Math" w:hAnsi="Cambria Math"/>
                    </w:rPr>
                    <m:t>ε</m:t>
                  </m:r>
                </m:e>
                <m:sub>
                  <m:r>
                    <m:rPr>
                      <m:sty m:val="p"/>
                    </m:rP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d>
                <m:dPr>
                  <m:ctrlPr>
                    <w:rPr>
                      <w:rFonts w:ascii="Cambria Math" w:hAnsi="Cambria Math"/>
                    </w:rPr>
                  </m:ctrlPr>
                </m:dPr>
                <m:e>
                  <m:r>
                    <m:rPr>
                      <m:sty m:val="p"/>
                    </m:rPr>
                    <w:rPr>
                      <w:rFonts w:ascii="Cambria Math" w:hAnsi="Cambria Math"/>
                    </w:rPr>
                    <m:t>∞</m:t>
                  </m:r>
                </m:e>
              </m:d>
              <m:r>
                <w:rPr>
                  <w:rFonts w:ascii="Latin Modern Math" w:hAnsi="Latin Modern Math"/>
                </w:rPr>
                <m:t xml:space="preserve"> </m:t>
              </m:r>
              <m:r>
                <w:rPr>
                  <w:rFonts w:ascii="Cambria Math" w:hAnsi="Cambria Math"/>
                </w:rPr>
                <m:t>#</m:t>
              </m:r>
              <m:d>
                <m:dPr>
                  <m:ctrlPr>
                    <w:rPr>
                      <w:rFonts w:ascii="Latin Modern Math" w:hAnsi="Latin Modern Math"/>
                      <w:i/>
                    </w:rPr>
                  </m:ctrlPr>
                </m:dPr>
                <m:e>
                  <m:r>
                    <w:rPr>
                      <w:rFonts w:ascii="Latin Modern Math" w:hAnsi="Latin Modern Math"/>
                    </w:rPr>
                    <m:t>Eq.5</m:t>
                  </m:r>
                </m:e>
              </m:d>
              <m:ctrlPr>
                <w:rPr>
                  <w:rFonts w:ascii="Cambria Math" w:hAnsi="Cambria Math"/>
                  <w:i/>
                </w:rPr>
              </m:ctrlPr>
            </m:e>
          </m:eqArr>
        </m:oMath>
      </m:oMathPara>
    </w:p>
    <w:p w14:paraId="5F50635F" w14:textId="77777777" w:rsidR="002B46BD" w:rsidRPr="009B6110" w:rsidRDefault="002B46BD" w:rsidP="002B46BD">
      <w:r w:rsidRPr="009B6110">
        <w:t>At low frequencies (noted as ‘</w:t>
      </w:r>
      <m:oMath>
        <m:r>
          <w:rPr>
            <w:rFonts w:ascii="Cambria Math" w:hAnsi="Cambria Math"/>
          </w:rPr>
          <m:t>s</m:t>
        </m:r>
      </m:oMath>
      <w:r w:rsidRPr="009B6110">
        <w:t>’ for ‘static’), where atomic motion is much faster than the depolarization field, we can write:</w:t>
      </w:r>
    </w:p>
    <w:p w14:paraId="7CC118CF" w14:textId="16E1C619" w:rsidR="00BE1CC9" w:rsidRPr="00BE1CC9" w:rsidRDefault="00000000" w:rsidP="00BE1CC9">
      <w:pPr>
        <w:rPr>
          <w:rFonts w:eastAsiaTheme="minorEastAsia"/>
        </w:rPr>
      </w:pPr>
      <m:oMathPara>
        <m:oMath>
          <m:eqArr>
            <m:eqArrPr>
              <m:maxDist m:val="1"/>
              <m:ctrlPr>
                <w:rPr>
                  <w:rFonts w:ascii="Cambria Math" w:hAnsi="Cambria Math"/>
                  <w:i/>
                </w:rPr>
              </m:ctrlPr>
            </m:eqArrPr>
            <m:e>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D</m:t>
                      </m:r>
                    </m:e>
                  </m:acc>
                  <m:d>
                    <m:dPr>
                      <m:ctrlPr>
                        <w:rPr>
                          <w:rFonts w:ascii="Cambria Math" w:hAnsi="Cambria Math"/>
                        </w:rPr>
                      </m:ctrlPr>
                    </m:dPr>
                    <m:e>
                      <m:r>
                        <m:rPr>
                          <m:sty m:val="p"/>
                        </m:rPr>
                        <w:rPr>
                          <w:rFonts w:ascii="Cambria Math" w:hAnsi="Cambria Math"/>
                        </w:rPr>
                        <m:t>0</m:t>
                      </m:r>
                    </m:e>
                  </m:d>
                </m:num>
                <m:den>
                  <m:acc>
                    <m:accPr>
                      <m:chr m:val="⃗"/>
                      <m:ctrlPr>
                        <w:rPr>
                          <w:rFonts w:ascii="Cambria Math" w:hAnsi="Cambria Math"/>
                        </w:rPr>
                      </m:ctrlPr>
                    </m:accPr>
                    <m:e>
                      <m:r>
                        <w:rPr>
                          <w:rFonts w:ascii="Cambria Math" w:hAnsi="Cambria Math"/>
                        </w:rPr>
                        <m:t>E</m:t>
                      </m:r>
                    </m:e>
                  </m:acc>
                </m:den>
              </m:f>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elec</m:t>
                      </m:r>
                    </m:sub>
                  </m:sSub>
                  <m:r>
                    <m:rPr>
                      <m:sty m:val="p"/>
                    </m:rPr>
                    <w:rPr>
                      <w:rFonts w:ascii="Cambria Math" w:hAnsi="Cambria Math"/>
                    </w:rPr>
                    <m:t>+</m:t>
                  </m:r>
                  <m:r>
                    <w:rPr>
                      <w:rFonts w:ascii="Cambria Math" w:hAnsi="Cambria Math"/>
                    </w:rPr>
                    <m:t>d</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atom</m:t>
                      </m:r>
                    </m:sub>
                  </m:sSub>
                </m:num>
                <m:den>
                  <m:acc>
                    <m:accPr>
                      <m:chr m:val="⃗"/>
                      <m:ctrlPr>
                        <w:rPr>
                          <w:rFonts w:ascii="Cambria Math" w:hAnsi="Cambria Math"/>
                        </w:rPr>
                      </m:ctrlPr>
                    </m:accPr>
                    <m:e>
                      <m:r>
                        <w:rPr>
                          <w:rFonts w:ascii="Cambria Math" w:hAnsi="Cambria Math"/>
                        </w:rPr>
                        <m:t>E</m:t>
                      </m:r>
                    </m:e>
                  </m:acc>
                </m:den>
              </m:f>
              <m:r>
                <m:rPr>
                  <m:sty m:val="p"/>
                </m:rPr>
                <w:rPr>
                  <w:rFonts w:ascii="Cambria Math" w:hAnsi="Cambria Math"/>
                </w:rPr>
                <m:t xml:space="preserve"> = </m:t>
              </m:r>
              <m:sSub>
                <m:sSubPr>
                  <m:ctrlPr>
                    <w:rPr>
                      <w:rFonts w:ascii="Cambria Math" w:hAnsi="Cambria Math"/>
                    </w:rPr>
                  </m:ctrlPr>
                </m:sSubPr>
                <m:e>
                  <m:r>
                    <w:rPr>
                      <w:rFonts w:ascii="Cambria Math" w:hAnsi="Cambria Math"/>
                    </w:rPr>
                    <m:t>ε</m:t>
                  </m:r>
                </m:e>
                <m:sub>
                  <m:r>
                    <m:rPr>
                      <m:sty m:val="p"/>
                    </m:rP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d>
                <m:dPr>
                  <m:ctrlPr>
                    <w:rPr>
                      <w:rFonts w:ascii="Cambria Math" w:hAnsi="Cambria Math"/>
                    </w:rPr>
                  </m:ctrlPr>
                </m:dPr>
                <m:e>
                  <m:r>
                    <w:rPr>
                      <w:rFonts w:ascii="Cambria Math" w:hAnsi="Cambria Math"/>
                    </w:rPr>
                    <m:t>s</m:t>
                  </m:r>
                </m:e>
              </m:d>
              <m:r>
                <w:rPr>
                  <w:rFonts w:ascii="Cambria Math" w:hAnsi="Cambria Math"/>
                </w:rPr>
                <m:t xml:space="preserve"> #</m:t>
              </m:r>
              <m:d>
                <m:dPr>
                  <m:ctrlPr>
                    <w:rPr>
                      <w:rFonts w:ascii="Cambria Math" w:hAnsi="Cambria Math"/>
                      <w:i/>
                    </w:rPr>
                  </m:ctrlPr>
                </m:dPr>
                <m:e>
                  <m:r>
                    <w:rPr>
                      <w:rFonts w:ascii="Cambria Math" w:hAnsi="Cambria Math"/>
                    </w:rPr>
                    <m:t>Eq. 6</m:t>
                  </m:r>
                </m:e>
              </m:d>
            </m:e>
          </m:eqArr>
        </m:oMath>
      </m:oMathPara>
    </w:p>
    <w:p w14:paraId="07ABCD60" w14:textId="77777777" w:rsidR="002B46BD" w:rsidRPr="009B6110" w:rsidRDefault="002B46BD" w:rsidP="002B46BD">
      <w:r w:rsidRPr="009B6110">
        <w:t xml:space="preserve">Considering the ratio between the polarization-displacements at </w:t>
      </w:r>
      <m:oMath>
        <m:r>
          <w:rPr>
            <w:rFonts w:ascii="Cambria Math" w:hAnsi="Cambria Math"/>
          </w:rPr>
          <m:t xml:space="preserve">ω→∞ </m:t>
        </m:r>
      </m:oMath>
      <w:r w:rsidRPr="009B6110">
        <w:t xml:space="preserve"> and </w:t>
      </w:r>
      <m:oMath>
        <m:r>
          <w:rPr>
            <w:rFonts w:ascii="Cambria Math" w:hAnsi="Cambria Math"/>
          </w:rPr>
          <m:t>ω→0</m:t>
        </m:r>
      </m:oMath>
      <w:r w:rsidRPr="009B6110">
        <w:t>, we can write:</w:t>
      </w:r>
    </w:p>
    <w:p w14:paraId="59BC44A1" w14:textId="1AF1D582" w:rsidR="00BE1CC9" w:rsidRPr="00BE1CC9" w:rsidRDefault="00000000" w:rsidP="00BE1CC9">
      <w:pPr>
        <w:rPr>
          <w:rFonts w:eastAsiaTheme="minorEastAsia"/>
        </w:rPr>
      </w:pPr>
      <m:oMathPara>
        <m:oMath>
          <m:eqArr>
            <m:eqArrPr>
              <m:maxDist m:val="1"/>
              <m:ctrlPr>
                <w:rPr>
                  <w:rFonts w:ascii="Cambria Math" w:hAnsi="Cambria Math"/>
                  <w:i/>
                </w:rPr>
              </m:ctrlPr>
            </m:eqArrPr>
            <m:e>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D</m:t>
                      </m:r>
                    </m:e>
                  </m:acc>
                  <m:d>
                    <m:dPr>
                      <m:ctrlPr>
                        <w:rPr>
                          <w:rFonts w:ascii="Cambria Math" w:hAnsi="Cambria Math"/>
                        </w:rPr>
                      </m:ctrlPr>
                    </m:dPr>
                    <m:e>
                      <m:r>
                        <m:rPr>
                          <m:sty m:val="p"/>
                        </m:rPr>
                        <w:rPr>
                          <w:rFonts w:ascii="Cambria Math" w:hAnsi="Cambria Math"/>
                        </w:rPr>
                        <m:t>0</m:t>
                      </m:r>
                    </m:e>
                  </m:d>
                </m:num>
                <m:den>
                  <m:r>
                    <w:rPr>
                      <w:rFonts w:ascii="Cambria Math" w:hAnsi="Cambria Math"/>
                    </w:rPr>
                    <m:t>d</m:t>
                  </m:r>
                  <m:acc>
                    <m:accPr>
                      <m:chr m:val="⃗"/>
                      <m:ctrlPr>
                        <w:rPr>
                          <w:rFonts w:ascii="Cambria Math" w:hAnsi="Cambria Math"/>
                        </w:rPr>
                      </m:ctrlPr>
                    </m:accPr>
                    <m:e>
                      <m:r>
                        <w:rPr>
                          <w:rFonts w:ascii="Cambria Math" w:hAnsi="Cambria Math"/>
                        </w:rPr>
                        <m:t>D</m:t>
                      </m:r>
                    </m:e>
                  </m:acc>
                  <m:d>
                    <m:dPr>
                      <m:ctrlPr>
                        <w:rPr>
                          <w:rFonts w:ascii="Cambria Math" w:hAnsi="Cambria Math"/>
                        </w:rPr>
                      </m:ctrlPr>
                    </m:dPr>
                    <m:e>
                      <m:r>
                        <m:rPr>
                          <m:sty m:val="p"/>
                        </m:rPr>
                        <w:rPr>
                          <w:rFonts w:ascii="Cambria Math" w:hAnsi="Cambria Math"/>
                        </w:rPr>
                        <m:t>∞</m:t>
                      </m:r>
                    </m:e>
                  </m:d>
                </m:den>
              </m:f>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elec</m:t>
                      </m:r>
                    </m:sub>
                  </m:sSub>
                  <m:r>
                    <m:rPr>
                      <m:sty m:val="p"/>
                    </m:rPr>
                    <w:rPr>
                      <w:rFonts w:ascii="Cambria Math" w:hAnsi="Cambria Math"/>
                    </w:rPr>
                    <m:t>+</m:t>
                  </m:r>
                  <m:r>
                    <w:rPr>
                      <w:rFonts w:ascii="Cambria Math" w:hAnsi="Cambria Math"/>
                    </w:rPr>
                    <m:t>d</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atom</m:t>
                      </m:r>
                    </m:sub>
                  </m:sSub>
                </m:num>
                <m:den>
                  <m:r>
                    <w:rPr>
                      <w:rFonts w:ascii="Cambria Math" w:hAnsi="Cambria Math"/>
                    </w:rPr>
                    <m:t>d</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elec</m:t>
                      </m:r>
                    </m:sub>
                  </m:sSub>
                </m:den>
              </m:f>
              <m:r>
                <m:rPr>
                  <m:sty m:val="p"/>
                </m:rPr>
                <w:rPr>
                  <w:rFonts w:ascii="Cambria Math" w:hAnsi="Cambria Math"/>
                </w:rPr>
                <m:t>=1+</m:t>
              </m:r>
              <m:f>
                <m:fPr>
                  <m:ctrlPr>
                    <w:rPr>
                      <w:rFonts w:ascii="Cambria Math" w:hAnsi="Cambria Math"/>
                    </w:rPr>
                  </m:ctrlPr>
                </m:fPr>
                <m:num>
                  <m:r>
                    <w:rPr>
                      <w:rFonts w:ascii="Cambria Math" w:hAnsi="Cambria Math"/>
                    </w:rPr>
                    <m:t>d</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atom</m:t>
                      </m:r>
                    </m:sub>
                  </m:sSub>
                </m:num>
                <m:den>
                  <m:r>
                    <w:rPr>
                      <w:rFonts w:ascii="Cambria Math" w:hAnsi="Cambria Math"/>
                    </w:rPr>
                    <m:t>d</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elec</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r</m:t>
                      </m:r>
                    </m:sub>
                  </m:sSub>
                  <m:d>
                    <m:dPr>
                      <m:ctrlPr>
                        <w:rPr>
                          <w:rFonts w:ascii="Cambria Math" w:hAnsi="Cambria Math"/>
                        </w:rPr>
                      </m:ctrlPr>
                    </m:dPr>
                    <m:e>
                      <m:r>
                        <w:rPr>
                          <w:rFonts w:ascii="Cambria Math" w:hAnsi="Cambria Math"/>
                        </w:rPr>
                        <m:t>s</m:t>
                      </m:r>
                    </m:e>
                  </m:d>
                </m:num>
                <m:den>
                  <m:sSub>
                    <m:sSubPr>
                      <m:ctrlPr>
                        <w:rPr>
                          <w:rFonts w:ascii="Cambria Math" w:hAnsi="Cambria Math"/>
                        </w:rPr>
                      </m:ctrlPr>
                    </m:sSubPr>
                    <m:e>
                      <m:r>
                        <w:rPr>
                          <w:rFonts w:ascii="Cambria Math" w:hAnsi="Cambria Math"/>
                        </w:rPr>
                        <m:t>ε</m:t>
                      </m:r>
                    </m:e>
                    <m:sub>
                      <m:r>
                        <w:rPr>
                          <w:rFonts w:ascii="Cambria Math" w:hAnsi="Cambria Math"/>
                        </w:rPr>
                        <m:t>r</m:t>
                      </m:r>
                    </m:sub>
                  </m:sSub>
                  <m:d>
                    <m:dPr>
                      <m:ctrlPr>
                        <w:rPr>
                          <w:rFonts w:ascii="Cambria Math" w:hAnsi="Cambria Math"/>
                        </w:rPr>
                      </m:ctrlPr>
                    </m:dPr>
                    <m:e>
                      <m:r>
                        <m:rPr>
                          <m:sty m:val="p"/>
                        </m:rPr>
                        <w:rPr>
                          <w:rFonts w:ascii="Cambria Math" w:hAnsi="Cambria Math"/>
                        </w:rPr>
                        <m:t>∞</m:t>
                      </m:r>
                    </m:e>
                  </m:d>
                </m:den>
              </m:f>
              <m:r>
                <w:rPr>
                  <w:rFonts w:ascii="Cambria Math" w:hAnsi="Cambria Math"/>
                </w:rPr>
                <m:t>#</m:t>
              </m:r>
              <m:d>
                <m:dPr>
                  <m:ctrlPr>
                    <w:rPr>
                      <w:rFonts w:ascii="Cambria Math" w:hAnsi="Cambria Math"/>
                      <w:i/>
                    </w:rPr>
                  </m:ctrlPr>
                </m:dPr>
                <m:e>
                  <m:r>
                    <w:rPr>
                      <w:rFonts w:ascii="Cambria Math" w:hAnsi="Cambria Math"/>
                    </w:rPr>
                    <m:t>Eq. 7</m:t>
                  </m:r>
                </m:e>
              </m:d>
            </m:e>
          </m:eqArr>
        </m:oMath>
      </m:oMathPara>
    </w:p>
    <w:p w14:paraId="4AB9C71D" w14:textId="77777777" w:rsidR="002B46BD" w:rsidRPr="009B6110" w:rsidRDefault="002B46BD" w:rsidP="002B46BD">
      <w:pPr>
        <w:rPr>
          <w:i/>
        </w:rPr>
      </w:pPr>
      <w:r w:rsidRPr="00B459F8">
        <w:rPr>
          <w:iCs/>
        </w:rPr>
        <w:t xml:space="preserve">If we define the displacement due to the </w:t>
      </w:r>
      <w:r w:rsidRPr="00B52652">
        <w:rPr>
          <w:b/>
          <w:bCs/>
          <w:i/>
        </w:rPr>
        <w:t>relative structural polarization</w:t>
      </w:r>
      <w:r w:rsidRPr="00B52652">
        <w:rPr>
          <w:i/>
        </w:rPr>
        <w:t xml:space="preserve"> (</w:t>
      </w:r>
      <w:r w:rsidRPr="00B52652">
        <w:rPr>
          <w:b/>
          <w:bCs/>
          <w:i/>
        </w:rPr>
        <w:t>RSP</w:t>
      </w:r>
      <w:r w:rsidRPr="00B52652">
        <w:rPr>
          <w:i/>
        </w:rPr>
        <w:t>)</w:t>
      </w:r>
      <w:r w:rsidRPr="00B459F8">
        <w:rPr>
          <w:iCs/>
        </w:rPr>
        <w:t xml:space="preserve">, as </w:t>
      </w:r>
      <m:oMath>
        <m:r>
          <m:rPr>
            <m:sty m:val="p"/>
          </m:rPr>
          <w:rPr>
            <w:rFonts w:ascii="Cambria Math" w:hAnsi="Cambria Math"/>
          </w:rPr>
          <m:t>RSP≡</m:t>
        </m:r>
        <m:f>
          <m:fPr>
            <m:ctrlPr>
              <w:rPr>
                <w:rFonts w:ascii="Cambria Math" w:hAnsi="Cambria Math"/>
                <w:i/>
              </w:rPr>
            </m:ctrlPr>
          </m:fPr>
          <m:num>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atom</m:t>
                </m:r>
              </m:sub>
            </m:sSub>
          </m:num>
          <m:den>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elec</m:t>
                </m:r>
              </m:sub>
            </m:sSub>
          </m:den>
        </m:f>
      </m:oMath>
      <w:r w:rsidRPr="009B6110">
        <w:rPr>
          <w:i/>
        </w:rPr>
        <w:t>,</w:t>
      </w:r>
      <w:r>
        <w:rPr>
          <w:i/>
        </w:rPr>
        <w:t xml:space="preserve"> </w:t>
      </w:r>
      <w:r w:rsidRPr="00B459F8">
        <w:rPr>
          <w:iCs/>
        </w:rPr>
        <w:t>then:</w:t>
      </w:r>
      <w:r w:rsidRPr="009B6110">
        <w:rPr>
          <w:i/>
        </w:rPr>
        <w:t xml:space="preserve"> </w:t>
      </w:r>
    </w:p>
    <w:p w14:paraId="54188457" w14:textId="4A94AA3B" w:rsidR="002B46BD" w:rsidRPr="00BE1CC9" w:rsidRDefault="00000000" w:rsidP="00BE1CC9">
      <w:pPr>
        <w:rPr>
          <w:rFonts w:eastAsiaTheme="minorEastAsia"/>
          <w:b/>
          <w:i/>
        </w:rPr>
      </w:pPr>
      <m:oMathPara>
        <m:oMath>
          <m:eqArr>
            <m:eqArrPr>
              <m:maxDist m:val="1"/>
              <m:ctrlPr>
                <w:rPr>
                  <w:rFonts w:ascii="Cambria Math" w:hAnsi="Cambria Math"/>
                  <w:b/>
                  <w:i/>
                </w:rPr>
              </m:ctrlPr>
            </m:eqArrPr>
            <m:e>
              <m:r>
                <m:rPr>
                  <m:sty m:val="bi"/>
                </m:rPr>
                <w:rPr>
                  <w:rFonts w:ascii="Cambria Math" w:hAnsi="Cambria Math"/>
                </w:rPr>
                <m:t>RSP≡</m:t>
              </m:r>
              <m:f>
                <m:fPr>
                  <m:ctrlPr>
                    <w:rPr>
                      <w:rFonts w:ascii="Cambria Math" w:hAnsi="Cambria Math"/>
                      <w:b/>
                      <w:bCs/>
                      <w:i/>
                    </w:rPr>
                  </m:ctrlPr>
                </m:fPr>
                <m:num>
                  <m:r>
                    <m:rPr>
                      <m:sty m:val="bi"/>
                    </m:rPr>
                    <w:rPr>
                      <w:rFonts w:ascii="Cambria Math" w:hAnsi="Cambria Math"/>
                    </w:rPr>
                    <m:t>d</m:t>
                  </m:r>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D</m:t>
                          </m:r>
                        </m:e>
                      </m:acc>
                    </m:e>
                    <m:sub>
                      <m:r>
                        <m:rPr>
                          <m:sty m:val="bi"/>
                        </m:rPr>
                        <w:rPr>
                          <w:rFonts w:ascii="Cambria Math" w:hAnsi="Cambria Math"/>
                        </w:rPr>
                        <m:t>atom</m:t>
                      </m:r>
                    </m:sub>
                  </m:sSub>
                </m:num>
                <m:den>
                  <m:r>
                    <m:rPr>
                      <m:sty m:val="bi"/>
                    </m:rPr>
                    <w:rPr>
                      <w:rFonts w:ascii="Cambria Math" w:hAnsi="Cambria Math"/>
                    </w:rPr>
                    <m:t>d</m:t>
                  </m:r>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D</m:t>
                          </m:r>
                        </m:e>
                      </m:acc>
                    </m:e>
                    <m:sub>
                      <m:r>
                        <m:rPr>
                          <m:sty m:val="bi"/>
                        </m:rPr>
                        <w:rPr>
                          <w:rFonts w:ascii="Cambria Math" w:hAnsi="Cambria Math"/>
                        </w:rPr>
                        <m:t>elec</m:t>
                      </m:r>
                    </m:sub>
                  </m:sSub>
                </m:den>
              </m:f>
              <m:r>
                <m:rPr>
                  <m:sty m:val="bi"/>
                </m:rPr>
                <w:rPr>
                  <w:rFonts w:ascii="Cambria Math" w:hAnsi="Cambria Math"/>
                </w:rPr>
                <m:t>=</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ε</m:t>
                      </m:r>
                    </m:e>
                    <m:sub>
                      <m:r>
                        <m:rPr>
                          <m:sty m:val="bi"/>
                        </m:rPr>
                        <w:rPr>
                          <w:rFonts w:ascii="Cambria Math" w:hAnsi="Cambria Math"/>
                        </w:rPr>
                        <m:t>r</m:t>
                      </m:r>
                    </m:sub>
                  </m:sSub>
                  <m:d>
                    <m:dPr>
                      <m:ctrlPr>
                        <w:rPr>
                          <w:rFonts w:ascii="Cambria Math" w:hAnsi="Cambria Math"/>
                          <w:b/>
                          <w:bCs/>
                          <w:i/>
                        </w:rPr>
                      </m:ctrlPr>
                    </m:dPr>
                    <m:e>
                      <m:r>
                        <m:rPr>
                          <m:sty m:val="bi"/>
                        </m:rPr>
                        <w:rPr>
                          <w:rFonts w:ascii="Cambria Math" w:hAnsi="Cambria Math"/>
                        </w:rPr>
                        <m:t>s</m:t>
                      </m:r>
                    </m:e>
                  </m:d>
                </m:num>
                <m:den>
                  <m:sSub>
                    <m:sSubPr>
                      <m:ctrlPr>
                        <w:rPr>
                          <w:rFonts w:ascii="Cambria Math" w:hAnsi="Cambria Math"/>
                          <w:b/>
                          <w:bCs/>
                          <w:i/>
                        </w:rPr>
                      </m:ctrlPr>
                    </m:sSubPr>
                    <m:e>
                      <m:r>
                        <m:rPr>
                          <m:sty m:val="bi"/>
                        </m:rPr>
                        <w:rPr>
                          <w:rFonts w:ascii="Cambria Math" w:hAnsi="Cambria Math"/>
                        </w:rPr>
                        <m:t>ε</m:t>
                      </m:r>
                    </m:e>
                    <m:sub>
                      <m:r>
                        <m:rPr>
                          <m:sty m:val="bi"/>
                        </m:rPr>
                        <w:rPr>
                          <w:rFonts w:ascii="Cambria Math" w:hAnsi="Cambria Math"/>
                        </w:rPr>
                        <m:t>r</m:t>
                      </m:r>
                    </m:sub>
                  </m:sSub>
                  <m:d>
                    <m:dPr>
                      <m:ctrlPr>
                        <w:rPr>
                          <w:rFonts w:ascii="Cambria Math" w:hAnsi="Cambria Math"/>
                          <w:b/>
                          <w:bCs/>
                          <w:i/>
                        </w:rPr>
                      </m:ctrlPr>
                    </m:dPr>
                    <m:e>
                      <m:r>
                        <m:rPr>
                          <m:sty m:val="bi"/>
                        </m:rPr>
                        <w:rPr>
                          <w:rFonts w:ascii="Cambria Math" w:hAnsi="Cambria Math"/>
                        </w:rPr>
                        <m:t>∞</m:t>
                      </m:r>
                    </m:e>
                  </m:d>
                </m:den>
              </m:f>
              <m:r>
                <m:rPr>
                  <m:sty m:val="bi"/>
                </m:rPr>
                <w:rPr>
                  <w:rFonts w:ascii="Cambria Math" w:hAnsi="Cambria Math"/>
                </w:rPr>
                <m:t>-1 #</m:t>
              </m:r>
              <m:d>
                <m:dPr>
                  <m:ctrlPr>
                    <w:rPr>
                      <w:rFonts w:ascii="Cambria Math" w:hAnsi="Cambria Math"/>
                      <w:bCs/>
                      <w:i/>
                    </w:rPr>
                  </m:ctrlPr>
                </m:dPr>
                <m:e>
                  <m:r>
                    <w:rPr>
                      <w:rFonts w:ascii="Cambria Math" w:hAnsi="Cambria Math"/>
                    </w:rPr>
                    <m:t>Eq.8</m:t>
                  </m:r>
                </m:e>
              </m:d>
            </m:e>
          </m:eqArr>
        </m:oMath>
      </m:oMathPara>
    </w:p>
    <w:p w14:paraId="1E9D2DE9" w14:textId="19ACF2F8" w:rsidR="002B46BD" w:rsidRDefault="002B46BD" w:rsidP="002B46BD">
      <w:pPr>
        <w:rPr>
          <w:rFonts w:eastAsiaTheme="minorEastAsia"/>
        </w:rPr>
      </w:pPr>
      <w:r w:rsidRPr="009B6110">
        <w:t xml:space="preserve">To understand RSP more intuitively, we consider a boundary condition of a purely monovalent ionic system (pure ionic bonding). We can assume that at low frequencies the ionic and electronic contributions are energetically equal, so that the electrostatic displacement energy is equally split between the electronic and atomic parts, meaning, </w:t>
      </w:r>
      <m:oMath>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elec</m:t>
            </m:r>
          </m:sub>
        </m:sSub>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atom</m:t>
            </m:r>
          </m:sub>
        </m:sSub>
      </m:oMath>
      <w:r w:rsidRPr="009B6110">
        <w:t>. If this is the case, for purely ionic material</w:t>
      </w:r>
      <w:r w:rsidR="00BE1CC9">
        <w:t>s RSP</w:t>
      </w:r>
      <w:r w:rsidR="00BE1CC9">
        <w:rPr>
          <w:rFonts w:cstheme="majorBidi"/>
        </w:rPr>
        <w:t>≈</w:t>
      </w:r>
      <w:r w:rsidR="00BE1CC9">
        <w:t>1</w:t>
      </w:r>
      <w:r w:rsidRPr="009B6110">
        <w:t>. The less ionic the bond</w:t>
      </w:r>
      <w:r>
        <w:t xml:space="preserve"> </w:t>
      </w:r>
      <w:r w:rsidRPr="009B6110">
        <w:t xml:space="preserve">(more covalent), then, energetically, depolarization effects will </w:t>
      </w:r>
      <w:proofErr w:type="spellStart"/>
      <w:r w:rsidRPr="009B6110">
        <w:t>favor</w:t>
      </w:r>
      <w:proofErr w:type="spellEnd"/>
      <w:r w:rsidRPr="009B6110">
        <w:t xml:space="preserve"> electronic over structural displacement, </w:t>
      </w:r>
      <w:r w:rsidRPr="00B459F8">
        <w:rPr>
          <w:i/>
          <w:iCs/>
        </w:rPr>
        <w:t>i.e.</w:t>
      </w:r>
      <w:r w:rsidRPr="009B6110">
        <w:t xml:space="preserve">, </w:t>
      </w:r>
      <m:oMath>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elec</m:t>
            </m:r>
          </m:sub>
        </m:sSub>
        <m:r>
          <w:rPr>
            <w:rFonts w:ascii="Cambria Math" w:hAnsi="Cambria Math"/>
          </w:rPr>
          <m:t>&gt;d</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atom</m:t>
            </m:r>
          </m:sub>
        </m:sSub>
      </m:oMath>
      <w:r w:rsidRPr="009B6110">
        <w:t xml:space="preserve"> , making</w:t>
      </w:r>
      <w:r w:rsidR="00BE1CC9">
        <w:t xml:space="preserve"> RSP &lt; 1. </w:t>
      </w:r>
      <w:r w:rsidRPr="009B6110">
        <w:rPr>
          <w:rFonts w:eastAsiaTheme="minorEastAsia"/>
        </w:rPr>
        <w:t xml:space="preserve">If </w:t>
      </w:r>
      <w:r w:rsidRPr="009B6110">
        <w:t xml:space="preserve">there is a repulsive covalent contribution to the bonding, then, energetically, depolarization effects will </w:t>
      </w:r>
      <w:proofErr w:type="spellStart"/>
      <w:r w:rsidRPr="009B6110">
        <w:t>favor</w:t>
      </w:r>
      <w:proofErr w:type="spellEnd"/>
      <w:r w:rsidRPr="009B6110">
        <w:t xml:space="preserve"> atomic displacement to reduce the anti-bonding energetic penalty by displacing atoms. Thus, for anti-bonding covalency </w:t>
      </w:r>
      <m:oMath>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elec</m:t>
            </m:r>
          </m:sub>
        </m:sSub>
        <m:r>
          <w:rPr>
            <w:rFonts w:ascii="Cambria Math" w:hAnsi="Cambria Math"/>
          </w:rPr>
          <m:t>&lt;d</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atom</m:t>
            </m:r>
          </m:sub>
        </m:sSub>
      </m:oMath>
      <w:r w:rsidRPr="009B6110">
        <w:t>, making</w:t>
      </w:r>
      <w:r w:rsidR="00BE1CC9">
        <w:t xml:space="preserve"> RSP &gt; 1</w:t>
      </w:r>
      <w:r w:rsidRPr="009B6110">
        <w:rPr>
          <w:rFonts w:eastAsiaTheme="minorEastAsia"/>
        </w:rPr>
        <w:t xml:space="preserve">. These trends were demonstrated </w:t>
      </w:r>
      <w:r w:rsidR="00AA0298">
        <w:rPr>
          <w:rFonts w:eastAsiaTheme="minorEastAsia"/>
        </w:rPr>
        <w:t>by Rakita et al</w:t>
      </w:r>
      <w:r w:rsidRPr="009B6110">
        <w:rPr>
          <w:rFonts w:eastAsiaTheme="minorEastAsia"/>
        </w:rPr>
        <w:t>.</w:t>
      </w:r>
      <w:r w:rsidR="00AA0298">
        <w:rPr>
          <w:rFonts w:eastAsiaTheme="minorEastAsia"/>
        </w:rPr>
        <w:t>.</w:t>
      </w:r>
      <w:r w:rsidR="00AA0298">
        <w:rPr>
          <w:rFonts w:eastAsiaTheme="minorEastAsia"/>
        </w:rPr>
        <w:fldChar w:fldCharType="begin"/>
      </w:r>
      <w:r w:rsidR="00AA0298">
        <w:rPr>
          <w:rFonts w:eastAsiaTheme="minorEastAsia"/>
        </w:rPr>
        <w:instrText xml:space="preserve"> ADDIN ZOTERO_ITEM CSL_CITATION {"citationID":"pSJn9Af7","properties":{"formattedCitation":"\\super 2\\nosupersub{}","plainCitation":"2","noteIndex":0},"citationItems":[{"id":1065,"uris":["http://zotero.org/groups/5926661/items/P23KAXN4"],"itemData":{"id":1065,"type":"article","abstract":"The way atoms attach to each other defines the function(s), e.g., mechanical, optical, electronic, of a given material. The nature of the chemical bond is, therefore, one of the most fundamental issues in materials. Both ionic interactions, i.e., resulting from electrical charges associated with the atoms, and covalent ones, i.e., the sharing of electrons between nuclei of different atoms, are usually viewed as forces that attract between atoms to form a rigid structure. Although less common for solid materials, it was shown theoretically to be possible for covalent interactions at the chemically-active electronic shell (or valence-band maximum) of semiconductors to reverse their more common nature and become repulsive, i.e., act against bonding. Some semiconductors with such predicted anti-bonding valence-band maximum levels (such as halide perovskites) show experimentally some amazing (opto-) electronic properties. Predictions that anti-bonding character can allow tolerance for existing defects, at least in part, can explain the superior properties of such semiconductors. Although there are known experimental ways to estimate the degree of the covalent nature (e.g., electronegativity), this was not possible hitherto for the type, i.e., distinguishing whether a material exhibits bonding or anti-bonding covalent interactions. We have developed a simple way to reveal the complete nature (both type and degree) of chemical bonds, using experimental data. After confirming our development with classical models and theoretical predictions, with a set of ~40 different functional semi-conductors, we show how knowledge of the complete nature of covalent bonding is of critical importance for fundamental properties of semiconductors.","DOI":"10.48550/arXiv.1907.03971","note":"arXiv:1907.03971 [cond-mat]","number":"arXiv:1907.03971","publisher":"arXiv","source":"arXiv.org","title":"Type and Degree of Covalence: Empirical Derivation and Implications","title-short":"Type and Degree of Covalence","URL":"http://arxiv.org/abs/1907.03971","author":[{"family":"Rakita","given":"Yevgeny"},{"family":"Kirchartz","given":"Thomas"},{"family":"Hodes","given":"Gary"},{"family":"Cahen","given":"David"}],"accessed":{"date-parts":[["2025",4,10]]},"issued":{"date-parts":[["2019",7,9]]}}}],"schema":"https://github.com/citation-style-language/schema/raw/master/csl-citation.json"} </w:instrText>
      </w:r>
      <w:r w:rsidR="00AA0298">
        <w:rPr>
          <w:rFonts w:eastAsiaTheme="minorEastAsia"/>
        </w:rPr>
        <w:fldChar w:fldCharType="separate"/>
      </w:r>
      <w:r w:rsidR="00AA0298" w:rsidRPr="00AA0298">
        <w:rPr>
          <w:rFonts w:ascii="Times New Roman" w:hAnsi="Times New Roman" w:cs="Times New Roman"/>
          <w:kern w:val="0"/>
          <w:vertAlign w:val="superscript"/>
        </w:rPr>
        <w:t>2</w:t>
      </w:r>
      <w:r w:rsidR="00AA0298">
        <w:rPr>
          <w:rFonts w:eastAsiaTheme="minorEastAsia"/>
        </w:rPr>
        <w:fldChar w:fldCharType="end"/>
      </w:r>
    </w:p>
    <w:p w14:paraId="652A1F33" w14:textId="77777777" w:rsidR="002B46BD" w:rsidRDefault="002B46BD">
      <w:pPr>
        <w:spacing w:line="259" w:lineRule="auto"/>
        <w:jc w:val="left"/>
        <w:rPr>
          <w:rFonts w:eastAsiaTheme="minorEastAsia"/>
        </w:rPr>
      </w:pPr>
      <w:r>
        <w:rPr>
          <w:rFonts w:eastAsiaTheme="minorEastAsia"/>
        </w:rPr>
        <w:br w:type="page"/>
      </w:r>
    </w:p>
    <w:p w14:paraId="6985416F" w14:textId="23EEE392" w:rsidR="00042DF6" w:rsidRDefault="00042DF6" w:rsidP="00042DF6">
      <w:pPr>
        <w:pStyle w:val="Heading2"/>
        <w:numPr>
          <w:ilvl w:val="0"/>
          <w:numId w:val="0"/>
        </w:numPr>
      </w:pPr>
      <w:r>
        <w:lastRenderedPageBreak/>
        <w:t>Section 2: RSP experimental and computed values</w:t>
      </w:r>
    </w:p>
    <w:p w14:paraId="737855EC" w14:textId="07EFF19B" w:rsidR="002B46BD" w:rsidRDefault="00042DF6" w:rsidP="00637E29">
      <w:r>
        <w:t xml:space="preserve">As discussed in the main text, several discrepancies were found between the computed RSP values from MP and the experimental values found in the literature. Here we present </w:t>
      </w:r>
      <w:r w:rsidR="002B46BD">
        <w:t>6</w:t>
      </w:r>
      <w:r>
        <w:t xml:space="preserve"> figures (S1-S</w:t>
      </w:r>
      <w:r w:rsidR="002B46BD">
        <w:t>6</w:t>
      </w:r>
      <w:r>
        <w:t xml:space="preserve">) which correspond to Figures 2b-g from the main text to show the experimental and computed RSP points and see how it affects the observed results. In all those figures, the experimental results are marked by X and the computed by O. </w:t>
      </w:r>
      <w:r w:rsidR="00E8782D">
        <w:t>In</w:t>
      </w:r>
      <w:r>
        <w:t xml:space="preserve"> these figures we see no clear discrepancy that can raise a doubt on our findings</w:t>
      </w:r>
      <w:r w:rsidR="002B46BD">
        <w:t>.</w:t>
      </w:r>
    </w:p>
    <w:p w14:paraId="42862A37" w14:textId="6DCEB985" w:rsidR="00637E29" w:rsidRDefault="00637E29" w:rsidP="00637E29">
      <w:r>
        <w:rPr>
          <w:noProof/>
        </w:rPr>
        <w:drawing>
          <wp:inline distT="0" distB="0" distL="0" distR="0" wp14:anchorId="2F0D48EC" wp14:editId="72C59F9D">
            <wp:extent cx="5731510" cy="4794885"/>
            <wp:effectExtent l="0" t="0" r="2540" b="5715"/>
            <wp:docPr id="199264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794885"/>
                    </a:xfrm>
                    <a:prstGeom prst="rect">
                      <a:avLst/>
                    </a:prstGeom>
                    <a:noFill/>
                    <a:ln>
                      <a:noFill/>
                    </a:ln>
                  </pic:spPr>
                </pic:pic>
              </a:graphicData>
            </a:graphic>
          </wp:inline>
        </w:drawing>
      </w:r>
    </w:p>
    <w:p w14:paraId="58585898" w14:textId="0E714987" w:rsidR="00042DF6" w:rsidRPr="002B46BD" w:rsidRDefault="002B46BD" w:rsidP="002B46BD">
      <w:pPr>
        <w:pStyle w:val="Caption"/>
        <w:jc w:val="center"/>
        <w:rPr>
          <w:b/>
          <w:bCs/>
          <w:i w:val="0"/>
          <w:iCs w:val="0"/>
          <w:color w:val="auto"/>
        </w:rPr>
      </w:pPr>
      <w:r w:rsidRPr="002B46BD">
        <w:rPr>
          <w:b/>
          <w:bCs/>
          <w:i w:val="0"/>
          <w:iCs w:val="0"/>
          <w:color w:val="auto"/>
        </w:rPr>
        <w:t>Figure S</w:t>
      </w:r>
      <w:r w:rsidRPr="002B46BD">
        <w:rPr>
          <w:b/>
          <w:bCs/>
          <w:i w:val="0"/>
          <w:iCs w:val="0"/>
          <w:color w:val="auto"/>
        </w:rPr>
        <w:fldChar w:fldCharType="begin"/>
      </w:r>
      <w:r w:rsidRPr="002B46BD">
        <w:rPr>
          <w:b/>
          <w:bCs/>
          <w:i w:val="0"/>
          <w:iCs w:val="0"/>
          <w:color w:val="auto"/>
        </w:rPr>
        <w:instrText xml:space="preserve"> SEQ Figure \* ARABIC </w:instrText>
      </w:r>
      <w:r w:rsidRPr="002B46BD">
        <w:rPr>
          <w:b/>
          <w:bCs/>
          <w:i w:val="0"/>
          <w:iCs w:val="0"/>
          <w:color w:val="auto"/>
        </w:rPr>
        <w:fldChar w:fldCharType="separate"/>
      </w:r>
      <w:r w:rsidR="00120B88">
        <w:rPr>
          <w:b/>
          <w:bCs/>
          <w:i w:val="0"/>
          <w:iCs w:val="0"/>
          <w:noProof/>
          <w:color w:val="auto"/>
        </w:rPr>
        <w:t>1</w:t>
      </w:r>
      <w:r w:rsidRPr="002B46BD">
        <w:rPr>
          <w:b/>
          <w:bCs/>
          <w:i w:val="0"/>
          <w:iCs w:val="0"/>
          <w:color w:val="auto"/>
        </w:rPr>
        <w:fldChar w:fldCharType="end"/>
      </w:r>
      <w:r w:rsidRPr="002B46BD">
        <w:rPr>
          <w:b/>
          <w:bCs/>
          <w:i w:val="0"/>
          <w:iCs w:val="0"/>
          <w:color w:val="auto"/>
        </w:rPr>
        <w:t>-S6.</w:t>
      </w:r>
      <w:r w:rsidR="00AA0298">
        <w:rPr>
          <w:b/>
          <w:bCs/>
          <w:i w:val="0"/>
          <w:iCs w:val="0"/>
          <w:color w:val="auto"/>
        </w:rPr>
        <w:t xml:space="preserve"> </w:t>
      </w:r>
      <w:r w:rsidR="00AA0298" w:rsidRPr="00AA0298">
        <w:rPr>
          <w:i w:val="0"/>
          <w:iCs w:val="0"/>
          <w:color w:val="auto"/>
        </w:rPr>
        <w:t xml:space="preserve">The </w:t>
      </w:r>
      <w:r w:rsidR="00AA0298">
        <w:rPr>
          <w:i w:val="0"/>
          <w:iCs w:val="0"/>
          <w:color w:val="auto"/>
        </w:rPr>
        <w:t xml:space="preserve">plots in Figure 3b-g with circle as computed RSP entries and X as experimental RSP entries. The materials groups correspond to Figure 3b-g, as follows: (1) Halide Perovskites (green)  (2) Alkali Halides (yellow)  (3) Coinage Halides (orange)  (4) </w:t>
      </w:r>
      <w:proofErr w:type="spellStart"/>
      <w:r w:rsidR="00AA0298">
        <w:rPr>
          <w:i w:val="0"/>
          <w:iCs w:val="0"/>
          <w:color w:val="auto"/>
        </w:rPr>
        <w:t>Chalcohalides</w:t>
      </w:r>
      <w:proofErr w:type="spellEnd"/>
      <w:r w:rsidR="00AA0298">
        <w:rPr>
          <w:i w:val="0"/>
          <w:iCs w:val="0"/>
          <w:color w:val="auto"/>
        </w:rPr>
        <w:t xml:space="preserve"> (purple)  (5) </w:t>
      </w:r>
      <w:r w:rsidR="00120B88">
        <w:rPr>
          <w:i w:val="0"/>
          <w:iCs w:val="0"/>
          <w:color w:val="auto"/>
        </w:rPr>
        <w:t>Chalcop</w:t>
      </w:r>
      <w:r w:rsidR="00AA0298">
        <w:rPr>
          <w:i w:val="0"/>
          <w:iCs w:val="0"/>
          <w:color w:val="auto"/>
        </w:rPr>
        <w:t>yrites (red)  (6) Possible CSOFCs (blue).</w:t>
      </w:r>
    </w:p>
    <w:p w14:paraId="12B70962" w14:textId="77777777" w:rsidR="009735AE" w:rsidRDefault="009735AE">
      <w:pPr>
        <w:spacing w:line="259" w:lineRule="auto"/>
        <w:jc w:val="left"/>
      </w:pPr>
      <w:r>
        <w:br w:type="page"/>
      </w:r>
    </w:p>
    <w:p w14:paraId="7F745A90" w14:textId="1FBEB8D6" w:rsidR="00120B88" w:rsidRDefault="00120B88" w:rsidP="00AB294C">
      <w:r>
        <w:lastRenderedPageBreak/>
        <w:t xml:space="preserve">In the chalcopyrties group, a clear underestimation of RSP values by Materials Project was observed. This can be seen in a computed-measured </w:t>
      </w:r>
      <w:r w:rsidR="00637E29">
        <w:t xml:space="preserve">values </w:t>
      </w:r>
      <w:r>
        <w:t>comparison plot in Figure S7.</w:t>
      </w:r>
      <w:r w:rsidR="00637E29">
        <w:t xml:space="preserve"> This large discrepancy can arise from the anisotropy of the pyrites and their trigonal symmetry, which may not be well accounted for in the RSP calculations.</w:t>
      </w:r>
    </w:p>
    <w:p w14:paraId="1E75C8B0" w14:textId="77777777" w:rsidR="00120B88" w:rsidRPr="00120B88" w:rsidRDefault="00120B88" w:rsidP="00120B88">
      <w:pPr>
        <w:keepNext/>
        <w:jc w:val="center"/>
        <w:rPr>
          <w:b/>
          <w:bCs/>
        </w:rPr>
      </w:pPr>
      <w:r>
        <w:rPr>
          <w:noProof/>
        </w:rPr>
        <w:drawing>
          <wp:inline distT="0" distB="0" distL="0" distR="0" wp14:anchorId="11BAD751" wp14:editId="04683C91">
            <wp:extent cx="5731510" cy="4519314"/>
            <wp:effectExtent l="0" t="0" r="2540" b="0"/>
            <wp:docPr id="185645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56062"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731510" cy="4519314"/>
                    </a:xfrm>
                    <a:prstGeom prst="rect">
                      <a:avLst/>
                    </a:prstGeom>
                    <a:noFill/>
                    <a:ln>
                      <a:noFill/>
                    </a:ln>
                  </pic:spPr>
                </pic:pic>
              </a:graphicData>
            </a:graphic>
          </wp:inline>
        </w:drawing>
      </w:r>
    </w:p>
    <w:p w14:paraId="1A9EB001" w14:textId="7F158626" w:rsidR="00637E29" w:rsidRDefault="00120B88" w:rsidP="00637E29">
      <w:pPr>
        <w:pStyle w:val="Caption"/>
        <w:jc w:val="center"/>
        <w:rPr>
          <w:i w:val="0"/>
          <w:iCs w:val="0"/>
          <w:color w:val="auto"/>
        </w:rPr>
      </w:pPr>
      <w:r w:rsidRPr="00120B88">
        <w:rPr>
          <w:b/>
          <w:bCs/>
          <w:i w:val="0"/>
          <w:iCs w:val="0"/>
          <w:color w:val="auto"/>
        </w:rPr>
        <w:t>Figure S7:</w:t>
      </w:r>
      <w:r>
        <w:rPr>
          <w:b/>
          <w:bCs/>
          <w:i w:val="0"/>
          <w:iCs w:val="0"/>
          <w:color w:val="auto"/>
        </w:rPr>
        <w:t xml:space="preserve"> </w:t>
      </w:r>
      <w:r>
        <w:rPr>
          <w:i w:val="0"/>
          <w:iCs w:val="0"/>
          <w:color w:val="auto"/>
        </w:rPr>
        <w:t>Comparison plot between measured RSP values (‘experimental’) and computed RSP values (‘theoretical’) of the chalcopyrites group.</w:t>
      </w:r>
      <w:r w:rsidR="00637E29">
        <w:rPr>
          <w:i w:val="0"/>
          <w:iCs w:val="0"/>
          <w:color w:val="auto"/>
        </w:rPr>
        <w:t xml:space="preserve"> The grey dotted line is a symmetry line.</w:t>
      </w:r>
    </w:p>
    <w:p w14:paraId="77C868D8" w14:textId="77777777" w:rsidR="00637E29" w:rsidRDefault="00637E29">
      <w:pPr>
        <w:spacing w:line="259" w:lineRule="auto"/>
        <w:jc w:val="left"/>
        <w:rPr>
          <w:sz w:val="18"/>
          <w:szCs w:val="18"/>
        </w:rPr>
      </w:pPr>
      <w:r>
        <w:rPr>
          <w:i/>
          <w:iCs/>
        </w:rPr>
        <w:br w:type="page"/>
      </w:r>
    </w:p>
    <w:p w14:paraId="020D25AA" w14:textId="30C2ACB2" w:rsidR="00042DF6" w:rsidRDefault="00042DF6" w:rsidP="00AB294C">
      <w:r>
        <w:lastRenderedPageBreak/>
        <w:t xml:space="preserve">Considering the peculiarity of the </w:t>
      </w:r>
      <w:r w:rsidR="00126BA9">
        <w:t>CSOFCs</w:t>
      </w:r>
      <w:r>
        <w:t xml:space="preserve"> case,</w:t>
      </w:r>
      <w:r w:rsidR="00126BA9">
        <w:t xml:space="preserve"> having RSP &gt; 1 for most of the group,</w:t>
      </w:r>
      <w:r>
        <w:t xml:space="preserve"> we further investigate the RSP values</w:t>
      </w:r>
      <w:r w:rsidR="00126BA9">
        <w:t xml:space="preserve"> to disprove any computational effect on the results</w:t>
      </w:r>
      <w:r>
        <w:t>. In Figure S</w:t>
      </w:r>
      <w:r w:rsidR="00120B88">
        <w:t>8</w:t>
      </w:r>
      <w:r>
        <w:t xml:space="preserve"> a trend of the ionic component </w:t>
      </w:r>
      <w:r w:rsidR="00126BA9">
        <w:t>against</w:t>
      </w:r>
      <w:r>
        <w:t xml:space="preserve"> the RSP is plotted for values from MP and experimental</w:t>
      </w:r>
      <w:r w:rsidR="00126BA9">
        <w:t xml:space="preserve"> for all oxides in the database</w:t>
      </w:r>
      <w:r>
        <w:t xml:space="preserve">. It is clear from here the spread of the values, both the ionic component and the RSP, is about the same in both types of data. </w:t>
      </w:r>
      <w:r w:rsidR="00126BA9">
        <w:t>Thus, we assume no computation effect is apparent in this case, in contrast to the chalcopyrites case.</w:t>
      </w:r>
    </w:p>
    <w:p w14:paraId="4B916FEE" w14:textId="77777777" w:rsidR="00AB294C" w:rsidRDefault="00AB294C" w:rsidP="00AB294C"/>
    <w:p w14:paraId="7A7C3617" w14:textId="135282C3" w:rsidR="00AA0298" w:rsidRDefault="00AE1BCD" w:rsidP="00AA0298">
      <w:pPr>
        <w:keepNext/>
        <w:jc w:val="center"/>
      </w:pPr>
      <w:r>
        <w:rPr>
          <w:noProof/>
        </w:rPr>
        <w:drawing>
          <wp:inline distT="0" distB="0" distL="0" distR="0" wp14:anchorId="2B0D9320" wp14:editId="1C2AA962">
            <wp:extent cx="5731510" cy="4665915"/>
            <wp:effectExtent l="0" t="0" r="2540" b="0"/>
            <wp:docPr id="148257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71576"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731510" cy="4665915"/>
                    </a:xfrm>
                    <a:prstGeom prst="rect">
                      <a:avLst/>
                    </a:prstGeom>
                    <a:noFill/>
                    <a:ln>
                      <a:noFill/>
                    </a:ln>
                  </pic:spPr>
                </pic:pic>
              </a:graphicData>
            </a:graphic>
          </wp:inline>
        </w:drawing>
      </w:r>
    </w:p>
    <w:p w14:paraId="50B670F7" w14:textId="50993F4A" w:rsidR="00AB294C" w:rsidRPr="00AA0298" w:rsidRDefault="00AA0298" w:rsidP="00AA0298">
      <w:pPr>
        <w:pStyle w:val="Caption"/>
        <w:jc w:val="center"/>
        <w:rPr>
          <w:i w:val="0"/>
          <w:iCs w:val="0"/>
          <w:color w:val="auto"/>
        </w:rPr>
      </w:pPr>
      <w:r w:rsidRPr="00AA0298">
        <w:rPr>
          <w:b/>
          <w:bCs/>
          <w:i w:val="0"/>
          <w:iCs w:val="0"/>
          <w:color w:val="auto"/>
        </w:rPr>
        <w:t>Figure S7.</w:t>
      </w:r>
      <w:r>
        <w:rPr>
          <w:b/>
          <w:bCs/>
          <w:i w:val="0"/>
          <w:iCs w:val="0"/>
          <w:color w:val="auto"/>
        </w:rPr>
        <w:t xml:space="preserve"> </w:t>
      </w:r>
      <w:r>
        <w:rPr>
          <w:i w:val="0"/>
          <w:iCs w:val="0"/>
          <w:color w:val="auto"/>
        </w:rPr>
        <w:t xml:space="preserve">Correlation between the RSP value and the ionic permittivity value </w:t>
      </w:r>
      <w:r w:rsidR="00AE1BCD">
        <w:rPr>
          <w:i w:val="0"/>
          <w:iCs w:val="0"/>
          <w:color w:val="auto"/>
        </w:rPr>
        <w:t>for all the oxides. Black circles correspond to calculated values and blue X to measured ones.</w:t>
      </w:r>
    </w:p>
    <w:p w14:paraId="312DAABD" w14:textId="0A267502" w:rsidR="00AB294C" w:rsidRDefault="00AB294C">
      <w:pPr>
        <w:spacing w:line="259" w:lineRule="auto"/>
        <w:jc w:val="left"/>
        <w:rPr>
          <w:rFonts w:eastAsiaTheme="majorEastAsia" w:cstheme="majorBidi"/>
          <w:b/>
          <w:color w:val="000000" w:themeColor="text1"/>
          <w:sz w:val="24"/>
          <w:szCs w:val="32"/>
        </w:rPr>
      </w:pPr>
    </w:p>
    <w:p w14:paraId="27D02A30" w14:textId="77777777" w:rsidR="00AB294C" w:rsidRDefault="00AB294C">
      <w:pPr>
        <w:spacing w:line="259" w:lineRule="auto"/>
        <w:jc w:val="left"/>
        <w:rPr>
          <w:rFonts w:eastAsiaTheme="majorEastAsia" w:cstheme="majorBidi"/>
          <w:b/>
          <w:color w:val="000000" w:themeColor="text1"/>
          <w:sz w:val="24"/>
          <w:szCs w:val="32"/>
        </w:rPr>
      </w:pPr>
      <w:r>
        <w:br w:type="page"/>
      </w:r>
    </w:p>
    <w:p w14:paraId="4D6A9F35" w14:textId="2DC63446" w:rsidR="00042DF6" w:rsidRPr="00E84AAD" w:rsidRDefault="00042DF6" w:rsidP="00042DF6">
      <w:pPr>
        <w:pStyle w:val="Heading2"/>
        <w:numPr>
          <w:ilvl w:val="0"/>
          <w:numId w:val="0"/>
        </w:numPr>
      </w:pPr>
      <w:r w:rsidRPr="00E84AAD">
        <w:lastRenderedPageBreak/>
        <w:t xml:space="preserve">Section </w:t>
      </w:r>
      <w:r>
        <w:t>3</w:t>
      </w:r>
      <w:r w:rsidRPr="00E84AAD">
        <w:t>: Selected datapoints</w:t>
      </w:r>
    </w:p>
    <w:p w14:paraId="0E6A93CB" w14:textId="77777777" w:rsidR="00042DF6" w:rsidRDefault="00042DF6" w:rsidP="00042DF6">
      <w:pPr>
        <w:spacing w:after="0"/>
      </w:pPr>
      <w:r>
        <w:t>The material groups were defined as follows:</w:t>
      </w:r>
    </w:p>
    <w:p w14:paraId="29B48D91" w14:textId="77777777" w:rsidR="00042DF6" w:rsidRDefault="00042DF6" w:rsidP="00042DF6">
      <w:pPr>
        <w:pStyle w:val="ListParagraph"/>
        <w:numPr>
          <w:ilvl w:val="0"/>
          <w:numId w:val="14"/>
        </w:numPr>
      </w:pPr>
      <w:r>
        <w:t>Halide perovskites: halides with formula ABX</w:t>
      </w:r>
      <w:r w:rsidRPr="000D3F33">
        <w:rPr>
          <w:vertAlign w:val="subscript"/>
        </w:rPr>
        <w:t>3</w:t>
      </w:r>
      <w:r>
        <w:t xml:space="preserve"> and octahedral coordination. </w:t>
      </w:r>
    </w:p>
    <w:p w14:paraId="0EA7BDB5" w14:textId="77777777" w:rsidR="00042DF6" w:rsidRDefault="00042DF6" w:rsidP="00042DF6">
      <w:pPr>
        <w:pStyle w:val="ListParagraph"/>
        <w:numPr>
          <w:ilvl w:val="0"/>
          <w:numId w:val="14"/>
        </w:numPr>
      </w:pPr>
      <w:r>
        <w:t>Alkali halides: halides with an alkali cation and FCC crystal structure (space group 225).</w:t>
      </w:r>
    </w:p>
    <w:p w14:paraId="54258DE9" w14:textId="77777777" w:rsidR="00042DF6" w:rsidRDefault="00042DF6" w:rsidP="00042DF6">
      <w:pPr>
        <w:pStyle w:val="ListParagraph"/>
        <w:numPr>
          <w:ilvl w:val="0"/>
          <w:numId w:val="14"/>
        </w:numPr>
      </w:pPr>
      <w:r>
        <w:t>Coinage halides: halides with Ag, Cu or Au cation.</w:t>
      </w:r>
    </w:p>
    <w:p w14:paraId="3FC21696" w14:textId="77777777" w:rsidR="00042DF6" w:rsidRDefault="00042DF6" w:rsidP="00042DF6">
      <w:pPr>
        <w:pStyle w:val="ListParagraph"/>
        <w:numPr>
          <w:ilvl w:val="0"/>
          <w:numId w:val="14"/>
        </w:numPr>
      </w:pPr>
      <w:proofErr w:type="spellStart"/>
      <w:r>
        <w:t>Chalcohalides</w:t>
      </w:r>
      <w:proofErr w:type="spellEnd"/>
      <w:r>
        <w:t>: materials with halide and chalcogenide as anions.</w:t>
      </w:r>
    </w:p>
    <w:p w14:paraId="13E94466" w14:textId="77777777" w:rsidR="00042DF6" w:rsidRDefault="00042DF6" w:rsidP="00042DF6">
      <w:pPr>
        <w:pStyle w:val="ListParagraph"/>
        <w:numPr>
          <w:ilvl w:val="0"/>
          <w:numId w:val="14"/>
        </w:numPr>
      </w:pPr>
      <w:r>
        <w:t>Complex Pyrites: materials with the formula ABX</w:t>
      </w:r>
      <w:r w:rsidRPr="000D3F33">
        <w:rPr>
          <w:vertAlign w:val="subscript"/>
        </w:rPr>
        <w:t>2</w:t>
      </w:r>
      <w:r>
        <w:t xml:space="preserve"> where either </w:t>
      </w:r>
      <w:r w:rsidRPr="00CD2325">
        <w:t xml:space="preserve">A = Ag, Cu and B = B, Al, Ga, In, and X is a chalcogenide, </w:t>
      </w:r>
      <w:r>
        <w:t>or</w:t>
      </w:r>
      <w:r w:rsidRPr="00CD2325">
        <w:t xml:space="preserve"> pnictide pyrites, where A = Zn, Cd and B = Si, Ge, Sn, and X is a pnictide</w:t>
      </w:r>
      <w:r>
        <w:t>.</w:t>
      </w:r>
    </w:p>
    <w:p w14:paraId="76F1B09A" w14:textId="36A6F6A9" w:rsidR="00042DF6" w:rsidRPr="000D3F33" w:rsidRDefault="00042DF6" w:rsidP="00042DF6">
      <w:pPr>
        <w:pStyle w:val="ListParagraph"/>
        <w:numPr>
          <w:ilvl w:val="0"/>
          <w:numId w:val="14"/>
        </w:numPr>
      </w:pPr>
      <w:r>
        <w:t xml:space="preserve">Possible Ceramics for </w:t>
      </w:r>
      <w:proofErr w:type="spellStart"/>
      <w:r>
        <w:t>SOFCs</w:t>
      </w:r>
      <w:proofErr w:type="spellEnd"/>
      <w:r>
        <w:t>: Defined according to E</w:t>
      </w:r>
      <w:r>
        <w:rPr>
          <w:vertAlign w:val="subscript"/>
        </w:rPr>
        <w:t>vac</w:t>
      </w:r>
      <w:r>
        <w:t xml:space="preserve"> = oxygen vacancy formation energy, taken from Baldassari et al.</w:t>
      </w:r>
      <w:r w:rsidR="00AA0298">
        <w:t>.</w:t>
      </w:r>
      <w:r w:rsidR="00AA0298">
        <w:fldChar w:fldCharType="begin"/>
      </w:r>
      <w:r w:rsidR="00126BA9">
        <w:instrText xml:space="preserve"> ADDIN ZOTERO_ITEM CSL_CITATION {"citationID":"0FuOhYWX","properties":{"formattedCitation":"\\super 3\\nosupersub{}","plainCitation":"3","noteIndex":0},"citationItems":[{"id":1447,"uris":["http://zotero.org/groups/5926661/items/QT25DVTR"],"itemData":{"id":1447,"type":"article-journal","abstract":"The oxygen vacancy formation energy (ΔEvf) governs defect concentrations alongside the entropy and is a useful metric to perform materials selection for a variety of applications. However, density functional theory (DFT) calculations of ΔEvf come at a greater computational cost than the typical bulk calculations available in materials databases due to the involvement of multiple vacancy-containing supercells. As a result, available repositories of direct calculations of ΔEvf remain relatively scarce, and the development of machine-learning models capable of delivering accurate predictions is of interest. In the present work, we address both such points. We first report the results of new high-throughput DFT calculations of oxygen vacancy formation energies of the different unique oxygen sites in over 1000 different oxide materials, with a large portion of the calculations, and of the discussion, focusing on perovskite-type and pyrochlore-type oxides. Together, the over 2500 ΔEvf calculations form the largest data set of directly computed oxygen vacancy formation energies to date, to our knowledge. We then utilize such a data set to train random forest models with different sets of features, examining both novel features introduced in this work and ones previously employed in the literature. We demonstrate the benefits of including features that contain information specific to the vacancy site and account for both cation identity and oxidation state and achieve a mean absolute error upon prediction of </w:instrText>
      </w:r>
      <w:r w:rsidR="00126BA9">
        <w:rPr>
          <w:rFonts w:ascii="Cambria Math" w:hAnsi="Cambria Math" w:cs="Cambria Math"/>
        </w:rPr>
        <w:instrText>∼</w:instrText>
      </w:r>
      <w:r w:rsidR="00126BA9">
        <w:instrText xml:space="preserve">0.3 eV/O, which is comparable to the accuracy observed upon comparison of DFT computations of oxygen vacancy formation energy and experimental results. Finally, we exemplify the predictive power of the developed models in the search for new compounds for solar-thermochemical water-splitting applications, finding over 250 new AA′BB′O6 double perovskite candidates.","container-title":"Chemistry of Materials","DOI":"10.1021/acs.chemmater.3c02251","ISSN":"0897-4756","issue":"24","journalAbbreviation":"Chem. Mater.","note":"publisher: American Chemical Society","page":"10619-10634","source":"ACS Publications","title":"Oxygen Vacancy Formation Energy in Metal Oxides: High-Throughput Computational Studies and Machine-Learning Predictions","title-short":"Oxygen Vacancy Formation Energy in Metal Oxides","volume":"35","author":[{"family":"Baldassarri","given":"Bianca"},{"family":"He","given":"Jiangang"},{"family":"Gopakumar","given":"Abhijith"},{"family":"Griesemer","given":"Sean"},{"family":"Salgado-Casanova","given":"Adolfo J. A."},{"family":"Liu","given":"Tzu-Chen"},{"family":"Torrisi","given":"Steven B."},{"family":"Wolverton","given":"Chris"}],"issued":{"date-parts":[["2023",12,26]]}}}],"schema":"https://github.com/citation-style-language/schema/raw/master/csl-citation.json"} </w:instrText>
      </w:r>
      <w:r w:rsidR="00AA0298">
        <w:fldChar w:fldCharType="separate"/>
      </w:r>
      <w:r w:rsidR="00126BA9" w:rsidRPr="00126BA9">
        <w:rPr>
          <w:rFonts w:ascii="Times New Roman" w:hAnsi="Times New Roman" w:cs="Times New Roman"/>
          <w:kern w:val="0"/>
          <w:vertAlign w:val="superscript"/>
        </w:rPr>
        <w:t>3</w:t>
      </w:r>
      <w:r w:rsidR="00AA0298">
        <w:fldChar w:fldCharType="end"/>
      </w:r>
      <w:r>
        <w:t xml:space="preserve"> If 2 eV &lt; E</w:t>
      </w:r>
      <w:r>
        <w:rPr>
          <w:vertAlign w:val="subscript"/>
        </w:rPr>
        <w:t>vac</w:t>
      </w:r>
      <w:r>
        <w:t xml:space="preserve"> &lt; 5 eV then an oxide is included in this set, following the ranges defined by Baldassari et al.. In </w:t>
      </w:r>
      <w:proofErr w:type="spellStart"/>
      <w:r>
        <w:t>multinary</w:t>
      </w:r>
      <w:proofErr w:type="spellEnd"/>
      <w:r>
        <w:t xml:space="preserve"> oxides, each atom’s binary oxide E</w:t>
      </w:r>
      <w:r>
        <w:rPr>
          <w:vertAlign w:val="subscript"/>
        </w:rPr>
        <w:t>vac</w:t>
      </w:r>
      <w:r>
        <w:t xml:space="preserve"> is evaluated, and then a weighted average (according to stoichiometric ratios) is taken.</w:t>
      </w:r>
    </w:p>
    <w:p w14:paraId="61EE055E" w14:textId="3283DAB6" w:rsidR="00AB294C" w:rsidRDefault="00AB294C" w:rsidP="00042DF6">
      <w:pPr>
        <w:spacing w:line="259" w:lineRule="auto"/>
        <w:jc w:val="left"/>
        <w:rPr>
          <w:rFonts w:ascii="Times New Roman" w:eastAsia="Aptos" w:hAnsi="Times New Roman" w:cs="Times New Roman"/>
          <w:lang w:val=""/>
        </w:rPr>
      </w:pPr>
      <w:r>
        <w:rPr>
          <w:rFonts w:ascii="Times New Roman" w:eastAsia="Aptos" w:hAnsi="Times New Roman" w:cs="Times New Roman"/>
          <w:lang w:val=""/>
        </w:rPr>
        <w:t>The tables S1-S8 are found in the excel file</w:t>
      </w:r>
      <w:r w:rsidR="00AA0298">
        <w:rPr>
          <w:rFonts w:ascii="Times New Roman" w:eastAsia="Aptos" w:hAnsi="Times New Roman" w:cs="Times New Roman"/>
          <w:lang w:val=""/>
        </w:rPr>
        <w:t xml:space="preserve"> Supporting_Tables.xlsx.</w:t>
      </w:r>
    </w:p>
    <w:p w14:paraId="6817B44D" w14:textId="77777777" w:rsidR="00AB294C" w:rsidRDefault="00AB294C" w:rsidP="00042DF6">
      <w:pPr>
        <w:spacing w:line="259" w:lineRule="auto"/>
        <w:jc w:val="left"/>
        <w:rPr>
          <w:rFonts w:ascii="Times New Roman" w:eastAsia="Aptos" w:hAnsi="Times New Roman" w:cs="Times New Roman"/>
          <w:lang w:val=""/>
        </w:rPr>
      </w:pPr>
      <w:r>
        <w:rPr>
          <w:rFonts w:ascii="Times New Roman" w:eastAsia="Aptos" w:hAnsi="Times New Roman" w:cs="Times New Roman"/>
          <w:lang w:val=""/>
        </w:rPr>
        <w:t>Table S1: The entire dataset</w:t>
      </w:r>
    </w:p>
    <w:p w14:paraId="3B8A3D8F" w14:textId="77777777" w:rsidR="00AB294C" w:rsidRDefault="00AB294C" w:rsidP="00042DF6">
      <w:pPr>
        <w:spacing w:line="259" w:lineRule="auto"/>
        <w:jc w:val="left"/>
        <w:rPr>
          <w:rFonts w:ascii="Times New Roman" w:eastAsia="Aptos" w:hAnsi="Times New Roman" w:cs="Times New Roman"/>
          <w:lang w:val=""/>
        </w:rPr>
      </w:pPr>
      <w:r>
        <w:rPr>
          <w:rFonts w:ascii="Times New Roman" w:eastAsia="Aptos" w:hAnsi="Times New Roman" w:cs="Times New Roman"/>
          <w:lang w:val=""/>
        </w:rPr>
        <w:t>Table S2: Halide Perovskites data points</w:t>
      </w:r>
    </w:p>
    <w:p w14:paraId="173E4BC3" w14:textId="77777777" w:rsidR="00AB294C" w:rsidRDefault="00AB294C" w:rsidP="00042DF6">
      <w:pPr>
        <w:spacing w:line="259" w:lineRule="auto"/>
        <w:jc w:val="left"/>
        <w:rPr>
          <w:rFonts w:ascii="Times New Roman" w:eastAsia="Aptos" w:hAnsi="Times New Roman" w:cs="Times New Roman"/>
          <w:lang w:val=""/>
        </w:rPr>
      </w:pPr>
      <w:r>
        <w:rPr>
          <w:rFonts w:ascii="Times New Roman" w:eastAsia="Aptos" w:hAnsi="Times New Roman" w:cs="Times New Roman"/>
          <w:lang w:val=""/>
        </w:rPr>
        <w:t>Table S3: Alkali Halides data points</w:t>
      </w:r>
    </w:p>
    <w:p w14:paraId="39B659D3" w14:textId="77777777" w:rsidR="00AB294C" w:rsidRDefault="00AB294C" w:rsidP="00042DF6">
      <w:pPr>
        <w:spacing w:line="259" w:lineRule="auto"/>
        <w:jc w:val="left"/>
        <w:rPr>
          <w:rFonts w:ascii="Times New Roman" w:eastAsia="Aptos" w:hAnsi="Times New Roman" w:cs="Times New Roman"/>
          <w:lang w:val=""/>
        </w:rPr>
      </w:pPr>
      <w:r>
        <w:rPr>
          <w:rFonts w:ascii="Times New Roman" w:eastAsia="Aptos" w:hAnsi="Times New Roman" w:cs="Times New Roman"/>
          <w:lang w:val=""/>
        </w:rPr>
        <w:t>Table S4: Coinage Halides data points</w:t>
      </w:r>
    </w:p>
    <w:p w14:paraId="6B91745F" w14:textId="0E257B61" w:rsidR="00AB294C" w:rsidRDefault="00AB294C" w:rsidP="00042DF6">
      <w:pPr>
        <w:spacing w:line="259" w:lineRule="auto"/>
        <w:jc w:val="left"/>
        <w:rPr>
          <w:rFonts w:ascii="Times New Roman" w:eastAsia="Aptos" w:hAnsi="Times New Roman" w:cs="Times New Roman"/>
          <w:lang w:val=""/>
        </w:rPr>
      </w:pPr>
      <w:r>
        <w:rPr>
          <w:rFonts w:ascii="Times New Roman" w:eastAsia="Aptos" w:hAnsi="Times New Roman" w:cs="Times New Roman"/>
          <w:lang w:val=""/>
        </w:rPr>
        <w:t>Table S</w:t>
      </w:r>
      <w:r w:rsidR="003A5579">
        <w:rPr>
          <w:rFonts w:ascii="Times New Roman" w:eastAsia="Aptos" w:hAnsi="Times New Roman" w:cs="Times New Roman"/>
          <w:lang w:val=""/>
        </w:rPr>
        <w:t>5</w:t>
      </w:r>
      <w:r>
        <w:rPr>
          <w:rFonts w:ascii="Times New Roman" w:eastAsia="Aptos" w:hAnsi="Times New Roman" w:cs="Times New Roman"/>
          <w:lang w:val=""/>
        </w:rPr>
        <w:t>: Chalcohalides data points</w:t>
      </w:r>
    </w:p>
    <w:p w14:paraId="672F0A8F" w14:textId="0D70834A" w:rsidR="00AB294C" w:rsidRDefault="00AB294C" w:rsidP="00042DF6">
      <w:pPr>
        <w:spacing w:line="259" w:lineRule="auto"/>
        <w:jc w:val="left"/>
        <w:rPr>
          <w:rFonts w:ascii="Times New Roman" w:eastAsia="Aptos" w:hAnsi="Times New Roman" w:cs="Times New Roman"/>
          <w:lang w:val=""/>
        </w:rPr>
      </w:pPr>
      <w:r>
        <w:rPr>
          <w:rFonts w:ascii="Times New Roman" w:eastAsia="Aptos" w:hAnsi="Times New Roman" w:cs="Times New Roman"/>
          <w:lang w:val=""/>
        </w:rPr>
        <w:t>Table S</w:t>
      </w:r>
      <w:r w:rsidR="003A5579">
        <w:rPr>
          <w:rFonts w:ascii="Times New Roman" w:eastAsia="Aptos" w:hAnsi="Times New Roman" w:cs="Times New Roman"/>
          <w:lang w:val=""/>
        </w:rPr>
        <w:t>6</w:t>
      </w:r>
      <w:r>
        <w:rPr>
          <w:rFonts w:ascii="Times New Roman" w:eastAsia="Aptos" w:hAnsi="Times New Roman" w:cs="Times New Roman"/>
          <w:lang w:val=""/>
        </w:rPr>
        <w:t>: Complex Pyrites data points</w:t>
      </w:r>
    </w:p>
    <w:p w14:paraId="007B6D14" w14:textId="7E08D6B5" w:rsidR="00AB294C" w:rsidRDefault="00AB294C" w:rsidP="00042DF6">
      <w:pPr>
        <w:spacing w:line="259" w:lineRule="auto"/>
        <w:jc w:val="left"/>
        <w:rPr>
          <w:rFonts w:ascii="Times New Roman" w:eastAsia="Aptos" w:hAnsi="Times New Roman" w:cs="Times New Roman"/>
          <w:lang w:val=""/>
        </w:rPr>
      </w:pPr>
      <w:r>
        <w:rPr>
          <w:rFonts w:ascii="Times New Roman" w:eastAsia="Aptos" w:hAnsi="Times New Roman" w:cs="Times New Roman"/>
          <w:lang w:val=""/>
        </w:rPr>
        <w:t>Table S</w:t>
      </w:r>
      <w:r w:rsidR="003A5579">
        <w:rPr>
          <w:rFonts w:ascii="Times New Roman" w:eastAsia="Aptos" w:hAnsi="Times New Roman" w:cs="Times New Roman"/>
          <w:lang w:val=""/>
        </w:rPr>
        <w:t>7</w:t>
      </w:r>
      <w:r>
        <w:rPr>
          <w:rFonts w:ascii="Times New Roman" w:eastAsia="Aptos" w:hAnsi="Times New Roman" w:cs="Times New Roman"/>
          <w:lang w:val=""/>
        </w:rPr>
        <w:t>: Possible ceramics for solid oxide fuel cells (CSOFCs) data points</w:t>
      </w:r>
    </w:p>
    <w:p w14:paraId="5A77C5BA" w14:textId="295B5E85" w:rsidR="00AA0298" w:rsidRDefault="00AB294C" w:rsidP="00AB294C">
      <w:pPr>
        <w:spacing w:line="259" w:lineRule="auto"/>
        <w:jc w:val="left"/>
        <w:rPr>
          <w:rFonts w:ascii="Times New Roman" w:eastAsia="Aptos" w:hAnsi="Times New Roman" w:cs="Times New Roman"/>
          <w:lang w:val=""/>
        </w:rPr>
      </w:pPr>
      <w:r>
        <w:rPr>
          <w:rFonts w:ascii="Times New Roman" w:eastAsia="Aptos" w:hAnsi="Times New Roman" w:cs="Times New Roman"/>
          <w:lang w:val=""/>
        </w:rPr>
        <w:t>Table S</w:t>
      </w:r>
      <w:r w:rsidR="003A5579">
        <w:rPr>
          <w:rFonts w:ascii="Times New Roman" w:eastAsia="Aptos" w:hAnsi="Times New Roman" w:cs="Times New Roman"/>
          <w:lang w:val=""/>
        </w:rPr>
        <w:t>8</w:t>
      </w:r>
      <w:r>
        <w:rPr>
          <w:rFonts w:ascii="Times New Roman" w:eastAsia="Aptos" w:hAnsi="Times New Roman" w:cs="Times New Roman"/>
          <w:lang w:val=""/>
        </w:rPr>
        <w:t>: Training data points for classification ML model</w:t>
      </w:r>
    </w:p>
    <w:p w14:paraId="3145D74E" w14:textId="77777777" w:rsidR="00AA0298" w:rsidRDefault="00AA0298">
      <w:pPr>
        <w:spacing w:line="259" w:lineRule="auto"/>
        <w:jc w:val="left"/>
        <w:rPr>
          <w:rFonts w:ascii="Times New Roman" w:eastAsia="Aptos" w:hAnsi="Times New Roman" w:cs="Times New Roman"/>
          <w:lang w:val=""/>
        </w:rPr>
      </w:pPr>
      <w:r>
        <w:rPr>
          <w:rFonts w:ascii="Times New Roman" w:eastAsia="Aptos" w:hAnsi="Times New Roman" w:cs="Times New Roman"/>
          <w:lang w:val=""/>
        </w:rPr>
        <w:br w:type="page"/>
      </w:r>
    </w:p>
    <w:p w14:paraId="1480B98F" w14:textId="4D0CFC3B" w:rsidR="00AB294C" w:rsidRDefault="00AA0298" w:rsidP="00AA0298">
      <w:pPr>
        <w:pStyle w:val="Heading1"/>
        <w:numPr>
          <w:ilvl w:val="0"/>
          <w:numId w:val="0"/>
        </w:numPr>
        <w:ind w:left="432" w:hanging="432"/>
        <w:rPr>
          <w:rFonts w:eastAsia="Aptos"/>
        </w:rPr>
      </w:pPr>
      <w:r>
        <w:rPr>
          <w:rFonts w:eastAsia="Aptos"/>
        </w:rPr>
        <w:lastRenderedPageBreak/>
        <w:t>Bibliography</w:t>
      </w:r>
    </w:p>
    <w:p w14:paraId="52F0B269" w14:textId="77777777" w:rsidR="00126BA9" w:rsidRPr="00126BA9" w:rsidRDefault="00AA0298" w:rsidP="00126BA9">
      <w:pPr>
        <w:pStyle w:val="Bibliography"/>
        <w:rPr>
          <w:rFonts w:ascii="Times New Roman" w:hAnsi="Times New Roman" w:cs="Times New Roman"/>
          <w:sz w:val="22"/>
        </w:rPr>
      </w:pPr>
      <w:r>
        <w:fldChar w:fldCharType="begin"/>
      </w:r>
      <w:r w:rsidR="00126BA9">
        <w:instrText xml:space="preserve"> ADDIN ZOTERO_BIBL {"uncited":[],"omitted":[],"custom":[]} CSL_BIBLIOGRAPHY </w:instrText>
      </w:r>
      <w:r>
        <w:fldChar w:fldCharType="separate"/>
      </w:r>
      <w:r w:rsidR="00126BA9" w:rsidRPr="00126BA9">
        <w:rPr>
          <w:rFonts w:ascii="Times New Roman" w:hAnsi="Times New Roman" w:cs="Times New Roman"/>
          <w:sz w:val="22"/>
        </w:rPr>
        <w:t>1.</w:t>
      </w:r>
      <w:r w:rsidR="00126BA9" w:rsidRPr="00126BA9">
        <w:rPr>
          <w:rFonts w:ascii="Times New Roman" w:hAnsi="Times New Roman" w:cs="Times New Roman"/>
          <w:sz w:val="22"/>
        </w:rPr>
        <w:tab/>
        <w:t>Griffiths, D.J. (2017). Introduction to Electrodynamics 4th ed. (Cambridge University Press).</w:t>
      </w:r>
    </w:p>
    <w:p w14:paraId="76F939D6" w14:textId="77777777" w:rsidR="00126BA9" w:rsidRPr="00126BA9" w:rsidRDefault="00126BA9" w:rsidP="00126BA9">
      <w:pPr>
        <w:pStyle w:val="Bibliography"/>
        <w:rPr>
          <w:rFonts w:ascii="Times New Roman" w:hAnsi="Times New Roman" w:cs="Times New Roman"/>
          <w:sz w:val="22"/>
        </w:rPr>
      </w:pPr>
      <w:r w:rsidRPr="00126BA9">
        <w:rPr>
          <w:rFonts w:ascii="Times New Roman" w:hAnsi="Times New Roman" w:cs="Times New Roman"/>
          <w:sz w:val="22"/>
        </w:rPr>
        <w:t>2.</w:t>
      </w:r>
      <w:r w:rsidRPr="00126BA9">
        <w:rPr>
          <w:rFonts w:ascii="Times New Roman" w:hAnsi="Times New Roman" w:cs="Times New Roman"/>
          <w:sz w:val="22"/>
        </w:rPr>
        <w:tab/>
        <w:t xml:space="preserve">Rakita, Y., </w:t>
      </w:r>
      <w:proofErr w:type="spellStart"/>
      <w:r w:rsidRPr="00126BA9">
        <w:rPr>
          <w:rFonts w:ascii="Times New Roman" w:hAnsi="Times New Roman" w:cs="Times New Roman"/>
          <w:sz w:val="22"/>
        </w:rPr>
        <w:t>Kirchartz</w:t>
      </w:r>
      <w:proofErr w:type="spellEnd"/>
      <w:r w:rsidRPr="00126BA9">
        <w:rPr>
          <w:rFonts w:ascii="Times New Roman" w:hAnsi="Times New Roman" w:cs="Times New Roman"/>
          <w:sz w:val="22"/>
        </w:rPr>
        <w:t xml:space="preserve">, T., Hodes, G., and Cahen, D. (2019). Type and Degree of Covalence: Empirical Derivation and Implications. Preprint at </w:t>
      </w:r>
      <w:proofErr w:type="spellStart"/>
      <w:r w:rsidRPr="00126BA9">
        <w:rPr>
          <w:rFonts w:ascii="Times New Roman" w:hAnsi="Times New Roman" w:cs="Times New Roman"/>
          <w:sz w:val="22"/>
        </w:rPr>
        <w:t>arXiv</w:t>
      </w:r>
      <w:proofErr w:type="spellEnd"/>
      <w:r w:rsidRPr="00126BA9">
        <w:rPr>
          <w:rFonts w:ascii="Times New Roman" w:hAnsi="Times New Roman" w:cs="Times New Roman"/>
          <w:sz w:val="22"/>
        </w:rPr>
        <w:t>, https://doi.org/10.48550/arXiv.1907.03971 https://doi.org/10.48550/arXiv.1907.03971.</w:t>
      </w:r>
    </w:p>
    <w:p w14:paraId="522CC2D3" w14:textId="77777777" w:rsidR="00126BA9" w:rsidRPr="00126BA9" w:rsidRDefault="00126BA9" w:rsidP="00126BA9">
      <w:pPr>
        <w:pStyle w:val="Bibliography"/>
        <w:rPr>
          <w:rFonts w:ascii="Times New Roman" w:hAnsi="Times New Roman" w:cs="Times New Roman"/>
          <w:sz w:val="22"/>
        </w:rPr>
      </w:pPr>
      <w:r w:rsidRPr="00126BA9">
        <w:rPr>
          <w:rFonts w:ascii="Times New Roman" w:hAnsi="Times New Roman" w:cs="Times New Roman"/>
          <w:sz w:val="22"/>
        </w:rPr>
        <w:t>3.</w:t>
      </w:r>
      <w:r w:rsidRPr="00126BA9">
        <w:rPr>
          <w:rFonts w:ascii="Times New Roman" w:hAnsi="Times New Roman" w:cs="Times New Roman"/>
          <w:sz w:val="22"/>
        </w:rPr>
        <w:tab/>
        <w:t xml:space="preserve">Baldassarri, B., He, J., </w:t>
      </w:r>
      <w:proofErr w:type="spellStart"/>
      <w:r w:rsidRPr="00126BA9">
        <w:rPr>
          <w:rFonts w:ascii="Times New Roman" w:hAnsi="Times New Roman" w:cs="Times New Roman"/>
          <w:sz w:val="22"/>
        </w:rPr>
        <w:t>Gopakumar</w:t>
      </w:r>
      <w:proofErr w:type="spellEnd"/>
      <w:r w:rsidRPr="00126BA9">
        <w:rPr>
          <w:rFonts w:ascii="Times New Roman" w:hAnsi="Times New Roman" w:cs="Times New Roman"/>
          <w:sz w:val="22"/>
        </w:rPr>
        <w:t xml:space="preserve">, A., </w:t>
      </w:r>
      <w:proofErr w:type="gramStart"/>
      <w:r w:rsidRPr="00126BA9">
        <w:rPr>
          <w:rFonts w:ascii="Times New Roman" w:hAnsi="Times New Roman" w:cs="Times New Roman"/>
          <w:sz w:val="22"/>
        </w:rPr>
        <w:t>Griesemer</w:t>
      </w:r>
      <w:proofErr w:type="gramEnd"/>
      <w:r w:rsidRPr="00126BA9">
        <w:rPr>
          <w:rFonts w:ascii="Times New Roman" w:hAnsi="Times New Roman" w:cs="Times New Roman"/>
          <w:sz w:val="22"/>
        </w:rPr>
        <w:t xml:space="preserve">, S., Salgado-Casanova, A.J.A., Liu, T.-C., Torrisi, S.B., and Wolverton, C. (2023). Oxygen Vacancy Formation Energy in Metal Oxides: High-Throughput Computational Studies and Machine-Learning Predictions. Chem. Mater. </w:t>
      </w:r>
      <w:r w:rsidRPr="00126BA9">
        <w:rPr>
          <w:rFonts w:ascii="Times New Roman" w:hAnsi="Times New Roman" w:cs="Times New Roman"/>
          <w:i/>
          <w:iCs/>
          <w:sz w:val="22"/>
        </w:rPr>
        <w:t>35</w:t>
      </w:r>
      <w:r w:rsidRPr="00126BA9">
        <w:rPr>
          <w:rFonts w:ascii="Times New Roman" w:hAnsi="Times New Roman" w:cs="Times New Roman"/>
          <w:sz w:val="22"/>
        </w:rPr>
        <w:t>, 10619–10634. https://doi.org/10.1021/acs.chemmater.3c02251.</w:t>
      </w:r>
    </w:p>
    <w:p w14:paraId="205E9F38" w14:textId="614AAAE5" w:rsidR="00AA0298" w:rsidRPr="00AA0298" w:rsidRDefault="00AA0298" w:rsidP="00AA0298">
      <w:pPr>
        <w:rPr>
          <w:lang w:val="en-US"/>
        </w:rPr>
      </w:pPr>
      <w:r>
        <w:rPr>
          <w:lang w:val="en-US"/>
        </w:rPr>
        <w:fldChar w:fldCharType="end"/>
      </w:r>
    </w:p>
    <w:sectPr w:rsidR="00AA0298" w:rsidRPr="00AA02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A7216" w14:textId="77777777" w:rsidR="005828AD" w:rsidRDefault="005828AD" w:rsidP="00605D07">
      <w:pPr>
        <w:spacing w:after="0" w:line="240" w:lineRule="auto"/>
      </w:pPr>
      <w:r>
        <w:separator/>
      </w:r>
    </w:p>
  </w:endnote>
  <w:endnote w:type="continuationSeparator" w:id="0">
    <w:p w14:paraId="0A116B9A" w14:textId="77777777" w:rsidR="005828AD" w:rsidRDefault="005828AD" w:rsidP="00605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in Modern Math">
    <w:panose1 w:val="02000503000000000000"/>
    <w:charset w:val="00"/>
    <w:family w:val="modern"/>
    <w:notTrueType/>
    <w:pitch w:val="variable"/>
    <w:sig w:usb0="A00000EF" w:usb1="4201F9EE" w:usb2="02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9EA82" w14:textId="77777777" w:rsidR="005828AD" w:rsidRDefault="005828AD" w:rsidP="00605D07">
      <w:pPr>
        <w:spacing w:after="0" w:line="240" w:lineRule="auto"/>
      </w:pPr>
      <w:r>
        <w:separator/>
      </w:r>
    </w:p>
  </w:footnote>
  <w:footnote w:type="continuationSeparator" w:id="0">
    <w:p w14:paraId="534511BC" w14:textId="77777777" w:rsidR="005828AD" w:rsidRDefault="005828AD" w:rsidP="00605D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337C"/>
    <w:multiLevelType w:val="hybridMultilevel"/>
    <w:tmpl w:val="9BE2ACD4"/>
    <w:lvl w:ilvl="0" w:tplc="9A8456B0">
      <w:start w:val="1"/>
      <w:numFmt w:val="decimal"/>
      <w:lvlText w:val="%1."/>
      <w:lvlJc w:val="left"/>
      <w:pPr>
        <w:ind w:left="360" w:hanging="360"/>
      </w:pPr>
    </w:lvl>
    <w:lvl w:ilvl="1" w:tplc="30C2DF0E" w:tentative="1">
      <w:start w:val="1"/>
      <w:numFmt w:val="lowerLetter"/>
      <w:lvlText w:val="%2."/>
      <w:lvlJc w:val="left"/>
      <w:pPr>
        <w:ind w:left="1080" w:hanging="360"/>
      </w:pPr>
    </w:lvl>
    <w:lvl w:ilvl="2" w:tplc="A93E45B6" w:tentative="1">
      <w:start w:val="1"/>
      <w:numFmt w:val="lowerRoman"/>
      <w:lvlText w:val="%3."/>
      <w:lvlJc w:val="right"/>
      <w:pPr>
        <w:ind w:left="1800" w:hanging="180"/>
      </w:pPr>
    </w:lvl>
    <w:lvl w:ilvl="3" w:tplc="D5001BF2" w:tentative="1">
      <w:start w:val="1"/>
      <w:numFmt w:val="decimal"/>
      <w:lvlText w:val="%4."/>
      <w:lvlJc w:val="left"/>
      <w:pPr>
        <w:ind w:left="2520" w:hanging="360"/>
      </w:pPr>
    </w:lvl>
    <w:lvl w:ilvl="4" w:tplc="738C5E1E" w:tentative="1">
      <w:start w:val="1"/>
      <w:numFmt w:val="lowerLetter"/>
      <w:lvlText w:val="%5."/>
      <w:lvlJc w:val="left"/>
      <w:pPr>
        <w:ind w:left="3240" w:hanging="360"/>
      </w:pPr>
    </w:lvl>
    <w:lvl w:ilvl="5" w:tplc="3104DAEE" w:tentative="1">
      <w:start w:val="1"/>
      <w:numFmt w:val="lowerRoman"/>
      <w:lvlText w:val="%6."/>
      <w:lvlJc w:val="right"/>
      <w:pPr>
        <w:ind w:left="3960" w:hanging="180"/>
      </w:pPr>
    </w:lvl>
    <w:lvl w:ilvl="6" w:tplc="55C8499C" w:tentative="1">
      <w:start w:val="1"/>
      <w:numFmt w:val="decimal"/>
      <w:lvlText w:val="%7."/>
      <w:lvlJc w:val="left"/>
      <w:pPr>
        <w:ind w:left="4680" w:hanging="360"/>
      </w:pPr>
    </w:lvl>
    <w:lvl w:ilvl="7" w:tplc="400A200E" w:tentative="1">
      <w:start w:val="1"/>
      <w:numFmt w:val="lowerLetter"/>
      <w:lvlText w:val="%8."/>
      <w:lvlJc w:val="left"/>
      <w:pPr>
        <w:ind w:left="5400" w:hanging="360"/>
      </w:pPr>
    </w:lvl>
    <w:lvl w:ilvl="8" w:tplc="39420714" w:tentative="1">
      <w:start w:val="1"/>
      <w:numFmt w:val="lowerRoman"/>
      <w:lvlText w:val="%9."/>
      <w:lvlJc w:val="right"/>
      <w:pPr>
        <w:ind w:left="6120" w:hanging="180"/>
      </w:pPr>
    </w:lvl>
  </w:abstractNum>
  <w:abstractNum w:abstractNumId="1" w15:restartNumberingAfterBreak="0">
    <w:nsid w:val="077E2CA7"/>
    <w:multiLevelType w:val="multilevel"/>
    <w:tmpl w:val="99E68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AC7238"/>
    <w:multiLevelType w:val="multilevel"/>
    <w:tmpl w:val="792AA7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55227FF"/>
    <w:multiLevelType w:val="multilevel"/>
    <w:tmpl w:val="2E14028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AF85251"/>
    <w:multiLevelType w:val="hybridMultilevel"/>
    <w:tmpl w:val="531E3076"/>
    <w:lvl w:ilvl="0" w:tplc="EC4A9B06">
      <w:start w:val="1"/>
      <w:numFmt w:val="decimal"/>
      <w:lvlText w:val="%1."/>
      <w:lvlJc w:val="left"/>
      <w:pPr>
        <w:ind w:left="1020" w:hanging="360"/>
      </w:pPr>
    </w:lvl>
    <w:lvl w:ilvl="1" w:tplc="CC9C0A7A">
      <w:start w:val="1"/>
      <w:numFmt w:val="decimal"/>
      <w:lvlText w:val="%2."/>
      <w:lvlJc w:val="left"/>
      <w:pPr>
        <w:ind w:left="1020" w:hanging="360"/>
      </w:pPr>
    </w:lvl>
    <w:lvl w:ilvl="2" w:tplc="4232E452">
      <w:start w:val="1"/>
      <w:numFmt w:val="decimal"/>
      <w:lvlText w:val="%3."/>
      <w:lvlJc w:val="left"/>
      <w:pPr>
        <w:ind w:left="1020" w:hanging="360"/>
      </w:pPr>
    </w:lvl>
    <w:lvl w:ilvl="3" w:tplc="9A6496C0">
      <w:start w:val="1"/>
      <w:numFmt w:val="decimal"/>
      <w:lvlText w:val="%4."/>
      <w:lvlJc w:val="left"/>
      <w:pPr>
        <w:ind w:left="1020" w:hanging="360"/>
      </w:pPr>
    </w:lvl>
    <w:lvl w:ilvl="4" w:tplc="E5FEBF88">
      <w:start w:val="1"/>
      <w:numFmt w:val="decimal"/>
      <w:lvlText w:val="%5."/>
      <w:lvlJc w:val="left"/>
      <w:pPr>
        <w:ind w:left="1020" w:hanging="360"/>
      </w:pPr>
    </w:lvl>
    <w:lvl w:ilvl="5" w:tplc="7820BFAA">
      <w:start w:val="1"/>
      <w:numFmt w:val="decimal"/>
      <w:lvlText w:val="%6."/>
      <w:lvlJc w:val="left"/>
      <w:pPr>
        <w:ind w:left="1020" w:hanging="360"/>
      </w:pPr>
    </w:lvl>
    <w:lvl w:ilvl="6" w:tplc="5E1823C8">
      <w:start w:val="1"/>
      <w:numFmt w:val="decimal"/>
      <w:lvlText w:val="%7."/>
      <w:lvlJc w:val="left"/>
      <w:pPr>
        <w:ind w:left="1020" w:hanging="360"/>
      </w:pPr>
    </w:lvl>
    <w:lvl w:ilvl="7" w:tplc="09EE5C82">
      <w:start w:val="1"/>
      <w:numFmt w:val="decimal"/>
      <w:lvlText w:val="%8."/>
      <w:lvlJc w:val="left"/>
      <w:pPr>
        <w:ind w:left="1020" w:hanging="360"/>
      </w:pPr>
    </w:lvl>
    <w:lvl w:ilvl="8" w:tplc="6B76EE8C">
      <w:start w:val="1"/>
      <w:numFmt w:val="decimal"/>
      <w:lvlText w:val="%9."/>
      <w:lvlJc w:val="left"/>
      <w:pPr>
        <w:ind w:left="1020" w:hanging="360"/>
      </w:pPr>
    </w:lvl>
  </w:abstractNum>
  <w:abstractNum w:abstractNumId="5" w15:restartNumberingAfterBreak="0">
    <w:nsid w:val="1BD02291"/>
    <w:multiLevelType w:val="multilevel"/>
    <w:tmpl w:val="BAE225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C730C8F"/>
    <w:multiLevelType w:val="multilevel"/>
    <w:tmpl w:val="14DCA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FB29FD"/>
    <w:multiLevelType w:val="multilevel"/>
    <w:tmpl w:val="B3FA22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28108E7"/>
    <w:multiLevelType w:val="multilevel"/>
    <w:tmpl w:val="592A16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E89356A"/>
    <w:multiLevelType w:val="multilevel"/>
    <w:tmpl w:val="9EA801D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594F763B"/>
    <w:multiLevelType w:val="multilevel"/>
    <w:tmpl w:val="008E8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376139"/>
    <w:multiLevelType w:val="multilevel"/>
    <w:tmpl w:val="3EFA7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2912B02"/>
    <w:multiLevelType w:val="hybridMultilevel"/>
    <w:tmpl w:val="3F72579A"/>
    <w:lvl w:ilvl="0" w:tplc="52D655A6">
      <w:start w:val="1"/>
      <w:numFmt w:val="decimal"/>
      <w:lvlText w:val="%1."/>
      <w:lvlJc w:val="left"/>
      <w:pPr>
        <w:ind w:left="1020" w:hanging="360"/>
      </w:pPr>
    </w:lvl>
    <w:lvl w:ilvl="1" w:tplc="1974CE80">
      <w:start w:val="1"/>
      <w:numFmt w:val="decimal"/>
      <w:lvlText w:val="%2."/>
      <w:lvlJc w:val="left"/>
      <w:pPr>
        <w:ind w:left="1020" w:hanging="360"/>
      </w:pPr>
    </w:lvl>
    <w:lvl w:ilvl="2" w:tplc="8F24F980">
      <w:start w:val="1"/>
      <w:numFmt w:val="decimal"/>
      <w:lvlText w:val="%3."/>
      <w:lvlJc w:val="left"/>
      <w:pPr>
        <w:ind w:left="1020" w:hanging="360"/>
      </w:pPr>
    </w:lvl>
    <w:lvl w:ilvl="3" w:tplc="2C52B5C2">
      <w:start w:val="1"/>
      <w:numFmt w:val="decimal"/>
      <w:lvlText w:val="%4."/>
      <w:lvlJc w:val="left"/>
      <w:pPr>
        <w:ind w:left="1020" w:hanging="360"/>
      </w:pPr>
    </w:lvl>
    <w:lvl w:ilvl="4" w:tplc="5DC8461C">
      <w:start w:val="1"/>
      <w:numFmt w:val="decimal"/>
      <w:lvlText w:val="%5."/>
      <w:lvlJc w:val="left"/>
      <w:pPr>
        <w:ind w:left="1020" w:hanging="360"/>
      </w:pPr>
    </w:lvl>
    <w:lvl w:ilvl="5" w:tplc="F89E61C6">
      <w:start w:val="1"/>
      <w:numFmt w:val="decimal"/>
      <w:lvlText w:val="%6."/>
      <w:lvlJc w:val="left"/>
      <w:pPr>
        <w:ind w:left="1020" w:hanging="360"/>
      </w:pPr>
    </w:lvl>
    <w:lvl w:ilvl="6" w:tplc="68CE38E8">
      <w:start w:val="1"/>
      <w:numFmt w:val="decimal"/>
      <w:lvlText w:val="%7."/>
      <w:lvlJc w:val="left"/>
      <w:pPr>
        <w:ind w:left="1020" w:hanging="360"/>
      </w:pPr>
    </w:lvl>
    <w:lvl w:ilvl="7" w:tplc="89A05B1E">
      <w:start w:val="1"/>
      <w:numFmt w:val="decimal"/>
      <w:lvlText w:val="%8."/>
      <w:lvlJc w:val="left"/>
      <w:pPr>
        <w:ind w:left="1020" w:hanging="360"/>
      </w:pPr>
    </w:lvl>
    <w:lvl w:ilvl="8" w:tplc="2854A52A">
      <w:start w:val="1"/>
      <w:numFmt w:val="decimal"/>
      <w:lvlText w:val="%9."/>
      <w:lvlJc w:val="left"/>
      <w:pPr>
        <w:ind w:left="1020" w:hanging="360"/>
      </w:pPr>
    </w:lvl>
  </w:abstractNum>
  <w:abstractNum w:abstractNumId="13" w15:restartNumberingAfterBreak="0">
    <w:nsid w:val="637F4E06"/>
    <w:multiLevelType w:val="multilevel"/>
    <w:tmpl w:val="991C6A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69D5543"/>
    <w:multiLevelType w:val="multilevel"/>
    <w:tmpl w:val="B640630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6C8C77BF"/>
    <w:multiLevelType w:val="multilevel"/>
    <w:tmpl w:val="6652BCD2"/>
    <w:lvl w:ilvl="0">
      <w:start w:val="1"/>
      <w:numFmt w:val="decimal"/>
      <w:lvlText w:val="%1."/>
      <w:lvlJc w:val="left"/>
      <w:pPr>
        <w:tabs>
          <w:tab w:val="num" w:pos="720"/>
        </w:tabs>
        <w:ind w:left="720" w:hanging="360"/>
      </w:pPr>
    </w:lvl>
    <w:lvl w:ilvl="1">
      <w:start w:val="54"/>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FD56BA"/>
    <w:multiLevelType w:val="multilevel"/>
    <w:tmpl w:val="C4AEF8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C256D5A"/>
    <w:multiLevelType w:val="multilevel"/>
    <w:tmpl w:val="35A687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34976034">
    <w:abstractNumId w:val="5"/>
  </w:num>
  <w:num w:numId="2" w16cid:durableId="830217543">
    <w:abstractNumId w:val="1"/>
  </w:num>
  <w:num w:numId="3" w16cid:durableId="548146533">
    <w:abstractNumId w:val="11"/>
  </w:num>
  <w:num w:numId="4" w16cid:durableId="1824856356">
    <w:abstractNumId w:val="6"/>
  </w:num>
  <w:num w:numId="5" w16cid:durableId="1530534303">
    <w:abstractNumId w:val="16"/>
  </w:num>
  <w:num w:numId="6" w16cid:durableId="847211336">
    <w:abstractNumId w:val="14"/>
  </w:num>
  <w:num w:numId="7" w16cid:durableId="2142382822">
    <w:abstractNumId w:val="15"/>
  </w:num>
  <w:num w:numId="8" w16cid:durableId="1217085424">
    <w:abstractNumId w:val="10"/>
  </w:num>
  <w:num w:numId="9" w16cid:durableId="400710915">
    <w:abstractNumId w:val="17"/>
  </w:num>
  <w:num w:numId="10" w16cid:durableId="1775049013">
    <w:abstractNumId w:val="8"/>
  </w:num>
  <w:num w:numId="11" w16cid:durableId="1610164023">
    <w:abstractNumId w:val="2"/>
  </w:num>
  <w:num w:numId="12" w16cid:durableId="180053960">
    <w:abstractNumId w:val="7"/>
  </w:num>
  <w:num w:numId="13" w16cid:durableId="441076288">
    <w:abstractNumId w:val="9"/>
  </w:num>
  <w:num w:numId="14" w16cid:durableId="1661277581">
    <w:abstractNumId w:val="0"/>
  </w:num>
  <w:num w:numId="15" w16cid:durableId="330571578">
    <w:abstractNumId w:val="4"/>
  </w:num>
  <w:num w:numId="16" w16cid:durableId="1065955973">
    <w:abstractNumId w:val="12"/>
  </w:num>
  <w:num w:numId="17" w16cid:durableId="949357625">
    <w:abstractNumId w:val="3"/>
  </w:num>
  <w:num w:numId="18" w16cid:durableId="543367839">
    <w:abstractNumId w:val="13"/>
  </w:num>
  <w:num w:numId="19" w16cid:durableId="1876507285">
    <w:abstractNumId w:val="14"/>
  </w:num>
  <w:num w:numId="20" w16cid:durableId="400719182">
    <w:abstractNumId w:val="14"/>
  </w:num>
  <w:num w:numId="21" w16cid:durableId="266811353">
    <w:abstractNumId w:val="14"/>
  </w:num>
  <w:num w:numId="22" w16cid:durableId="578951688">
    <w:abstractNumId w:val="14"/>
  </w:num>
  <w:num w:numId="23" w16cid:durableId="2140879982">
    <w:abstractNumId w:val="14"/>
  </w:num>
  <w:num w:numId="24" w16cid:durableId="608007548">
    <w:abstractNumId w:val="14"/>
  </w:num>
  <w:num w:numId="25" w16cid:durableId="1841306451">
    <w:abstractNumId w:val="14"/>
  </w:num>
  <w:num w:numId="26" w16cid:durableId="73357448">
    <w:abstractNumId w:val="14"/>
  </w:num>
  <w:num w:numId="27" w16cid:durableId="1795711621">
    <w:abstractNumId w:val="14"/>
  </w:num>
  <w:num w:numId="28" w16cid:durableId="5625243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9F4"/>
    <w:rsid w:val="000423FF"/>
    <w:rsid w:val="00042DF6"/>
    <w:rsid w:val="000946F0"/>
    <w:rsid w:val="000C148D"/>
    <w:rsid w:val="000E4D76"/>
    <w:rsid w:val="00120B88"/>
    <w:rsid w:val="00126BA9"/>
    <w:rsid w:val="001B1FFA"/>
    <w:rsid w:val="001F0931"/>
    <w:rsid w:val="00200176"/>
    <w:rsid w:val="002A37DC"/>
    <w:rsid w:val="002B0335"/>
    <w:rsid w:val="002B46BD"/>
    <w:rsid w:val="002E69F4"/>
    <w:rsid w:val="002F75DE"/>
    <w:rsid w:val="00325EC6"/>
    <w:rsid w:val="00346761"/>
    <w:rsid w:val="003A5579"/>
    <w:rsid w:val="003B0587"/>
    <w:rsid w:val="00443ABF"/>
    <w:rsid w:val="00580E63"/>
    <w:rsid w:val="005828AD"/>
    <w:rsid w:val="00605D07"/>
    <w:rsid w:val="00637E29"/>
    <w:rsid w:val="006629B0"/>
    <w:rsid w:val="00667C83"/>
    <w:rsid w:val="0067641B"/>
    <w:rsid w:val="006813EF"/>
    <w:rsid w:val="006C3966"/>
    <w:rsid w:val="006D7E03"/>
    <w:rsid w:val="006F1EAA"/>
    <w:rsid w:val="00756FE1"/>
    <w:rsid w:val="0089553F"/>
    <w:rsid w:val="00965D69"/>
    <w:rsid w:val="009735AE"/>
    <w:rsid w:val="00985EF9"/>
    <w:rsid w:val="009E4350"/>
    <w:rsid w:val="00A16487"/>
    <w:rsid w:val="00A21FAD"/>
    <w:rsid w:val="00A7716E"/>
    <w:rsid w:val="00AA0298"/>
    <w:rsid w:val="00AB294C"/>
    <w:rsid w:val="00AC7A5B"/>
    <w:rsid w:val="00AE1BCD"/>
    <w:rsid w:val="00B51EDF"/>
    <w:rsid w:val="00B83CAB"/>
    <w:rsid w:val="00BE1CC9"/>
    <w:rsid w:val="00C56E90"/>
    <w:rsid w:val="00C806D2"/>
    <w:rsid w:val="00CB4602"/>
    <w:rsid w:val="00CC3DB0"/>
    <w:rsid w:val="00D44130"/>
    <w:rsid w:val="00D5151F"/>
    <w:rsid w:val="00DA67CD"/>
    <w:rsid w:val="00DF01D2"/>
    <w:rsid w:val="00E16E4F"/>
    <w:rsid w:val="00E375DE"/>
    <w:rsid w:val="00E8782D"/>
    <w:rsid w:val="00EE34B0"/>
    <w:rsid w:val="00F80372"/>
  </w:rsids>
  <m:mathPr>
    <m:mathFont m:val="Latin Modern Math"/>
    <m:brkBin m:val="before"/>
    <m:brkBinSub m:val="--"/>
    <m:smallFrac m:val="0"/>
    <m:dispDef/>
    <m:lMargin m:val="0"/>
    <m:rMargin m:val="0"/>
    <m:defJc m:val="centerGroup"/>
    <m:wrapIndent m:val="1440"/>
    <m:intLim m:val="undOvr"/>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00EF8"/>
  <w15:chartTrackingRefBased/>
  <w15:docId w15:val="{CD4E14F8-8BF6-4E01-A1E6-4EAD2CE69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DF6"/>
    <w:pPr>
      <w:spacing w:line="360" w:lineRule="auto"/>
      <w:jc w:val="both"/>
    </w:pPr>
    <w:rPr>
      <w:rFonts w:asciiTheme="majorBidi" w:hAnsiTheme="majorBidi"/>
    </w:rPr>
  </w:style>
  <w:style w:type="paragraph" w:styleId="Heading1">
    <w:name w:val="heading 1"/>
    <w:basedOn w:val="Normal"/>
    <w:next w:val="Normal"/>
    <w:link w:val="Heading1Char"/>
    <w:autoRedefine/>
    <w:uiPriority w:val="9"/>
    <w:qFormat/>
    <w:rsid w:val="00042DF6"/>
    <w:pPr>
      <w:keepNext/>
      <w:keepLines/>
      <w:numPr>
        <w:numId w:val="28"/>
      </w:numPr>
      <w:spacing w:before="240" w:after="240"/>
      <w:outlineLvl w:val="0"/>
    </w:pPr>
    <w:rPr>
      <w:rFonts w:eastAsiaTheme="majorEastAsia" w:cstheme="majorBidi"/>
      <w:b/>
      <w:sz w:val="28"/>
      <w:szCs w:val="40"/>
      <w:lang w:val="en-US"/>
    </w:rPr>
  </w:style>
  <w:style w:type="paragraph" w:styleId="Heading2">
    <w:name w:val="heading 2"/>
    <w:basedOn w:val="Normal"/>
    <w:next w:val="Normal"/>
    <w:link w:val="Heading2Char"/>
    <w:autoRedefine/>
    <w:uiPriority w:val="9"/>
    <w:unhideWhenUsed/>
    <w:qFormat/>
    <w:rsid w:val="00042DF6"/>
    <w:pPr>
      <w:keepNext/>
      <w:keepLines/>
      <w:numPr>
        <w:ilvl w:val="1"/>
        <w:numId w:val="28"/>
      </w:numPr>
      <w:spacing w:before="160" w:after="80"/>
      <w:outlineLvl w:val="1"/>
    </w:pPr>
    <w:rPr>
      <w:rFonts w:eastAsiaTheme="majorEastAsia" w:cstheme="majorBidi"/>
      <w:b/>
      <w:color w:val="000000" w:themeColor="text1"/>
      <w:sz w:val="24"/>
      <w:szCs w:val="32"/>
    </w:rPr>
  </w:style>
  <w:style w:type="paragraph" w:styleId="Heading3">
    <w:name w:val="heading 3"/>
    <w:basedOn w:val="Normal"/>
    <w:next w:val="Normal"/>
    <w:link w:val="Heading3Char"/>
    <w:autoRedefine/>
    <w:uiPriority w:val="9"/>
    <w:unhideWhenUsed/>
    <w:qFormat/>
    <w:rsid w:val="00042DF6"/>
    <w:pPr>
      <w:keepNext/>
      <w:keepLines/>
      <w:numPr>
        <w:ilvl w:val="2"/>
        <w:numId w:val="28"/>
      </w:numPr>
      <w:spacing w:before="160" w:after="80"/>
      <w:outlineLvl w:val="2"/>
    </w:pPr>
    <w:rPr>
      <w:rFonts w:eastAsiaTheme="majorEastAsia" w:cstheme="majorBidi"/>
      <w:i/>
      <w:iCs/>
      <w:szCs w:val="28"/>
      <w:u w:val="single"/>
    </w:rPr>
  </w:style>
  <w:style w:type="paragraph" w:styleId="Heading4">
    <w:name w:val="heading 4"/>
    <w:basedOn w:val="Normal"/>
    <w:next w:val="Normal"/>
    <w:link w:val="Heading4Char"/>
    <w:uiPriority w:val="9"/>
    <w:semiHidden/>
    <w:unhideWhenUsed/>
    <w:qFormat/>
    <w:rsid w:val="00042DF6"/>
    <w:pPr>
      <w:keepNext/>
      <w:keepLines/>
      <w:numPr>
        <w:ilvl w:val="3"/>
        <w:numId w:val="2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DF6"/>
    <w:pPr>
      <w:keepNext/>
      <w:keepLines/>
      <w:numPr>
        <w:ilvl w:val="4"/>
        <w:numId w:val="2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DF6"/>
    <w:pPr>
      <w:keepNext/>
      <w:keepLines/>
      <w:numPr>
        <w:ilvl w:val="5"/>
        <w:numId w:val="2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DF6"/>
    <w:pPr>
      <w:keepNext/>
      <w:keepLines/>
      <w:numPr>
        <w:ilvl w:val="6"/>
        <w:numId w:val="2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DF6"/>
    <w:pPr>
      <w:keepNext/>
      <w:keepLines/>
      <w:numPr>
        <w:ilvl w:val="7"/>
        <w:numId w:val="2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DF6"/>
    <w:pPr>
      <w:keepNext/>
      <w:keepLines/>
      <w:numPr>
        <w:ilvl w:val="8"/>
        <w:numId w:val="2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DF6"/>
    <w:rPr>
      <w:rFonts w:asciiTheme="majorBidi" w:eastAsiaTheme="majorEastAsia" w:hAnsiTheme="majorBidi" w:cstheme="majorBidi"/>
      <w:b/>
      <w:sz w:val="28"/>
      <w:szCs w:val="40"/>
      <w:lang w:val="en-US"/>
    </w:rPr>
  </w:style>
  <w:style w:type="character" w:customStyle="1" w:styleId="Heading2Char">
    <w:name w:val="Heading 2 Char"/>
    <w:basedOn w:val="DefaultParagraphFont"/>
    <w:link w:val="Heading2"/>
    <w:uiPriority w:val="9"/>
    <w:rsid w:val="00042DF6"/>
    <w:rPr>
      <w:rFonts w:asciiTheme="majorBidi" w:eastAsiaTheme="majorEastAsia" w:hAnsiTheme="majorBidi" w:cstheme="majorBidi"/>
      <w:b/>
      <w:color w:val="000000" w:themeColor="text1"/>
      <w:sz w:val="24"/>
      <w:szCs w:val="32"/>
    </w:rPr>
  </w:style>
  <w:style w:type="character" w:customStyle="1" w:styleId="Heading3Char">
    <w:name w:val="Heading 3 Char"/>
    <w:basedOn w:val="DefaultParagraphFont"/>
    <w:link w:val="Heading3"/>
    <w:uiPriority w:val="9"/>
    <w:rsid w:val="00042DF6"/>
    <w:rPr>
      <w:rFonts w:asciiTheme="majorBidi" w:eastAsiaTheme="majorEastAsia" w:hAnsiTheme="majorBidi" w:cstheme="majorBidi"/>
      <w:i/>
      <w:iCs/>
      <w:szCs w:val="28"/>
      <w:u w:val="single"/>
    </w:rPr>
  </w:style>
  <w:style w:type="character" w:customStyle="1" w:styleId="Heading4Char">
    <w:name w:val="Heading 4 Char"/>
    <w:basedOn w:val="DefaultParagraphFont"/>
    <w:link w:val="Heading4"/>
    <w:uiPriority w:val="9"/>
    <w:semiHidden/>
    <w:rsid w:val="00042DF6"/>
    <w:rPr>
      <w:rFonts w:asciiTheme="majorBidi" w:eastAsiaTheme="majorEastAsia" w:hAnsiTheme="majorBidi" w:cstheme="majorBidi"/>
      <w:i/>
      <w:iCs/>
      <w:color w:val="0F4761" w:themeColor="accent1" w:themeShade="BF"/>
    </w:rPr>
  </w:style>
  <w:style w:type="character" w:customStyle="1" w:styleId="Heading5Char">
    <w:name w:val="Heading 5 Char"/>
    <w:basedOn w:val="DefaultParagraphFont"/>
    <w:link w:val="Heading5"/>
    <w:uiPriority w:val="9"/>
    <w:semiHidden/>
    <w:rsid w:val="00042DF6"/>
    <w:rPr>
      <w:rFonts w:asciiTheme="majorBidi" w:eastAsiaTheme="majorEastAsia" w:hAnsiTheme="majorBidi" w:cstheme="majorBidi"/>
      <w:color w:val="0F4761" w:themeColor="accent1" w:themeShade="BF"/>
    </w:rPr>
  </w:style>
  <w:style w:type="character" w:customStyle="1" w:styleId="Heading6Char">
    <w:name w:val="Heading 6 Char"/>
    <w:basedOn w:val="DefaultParagraphFont"/>
    <w:link w:val="Heading6"/>
    <w:uiPriority w:val="9"/>
    <w:semiHidden/>
    <w:rsid w:val="00042DF6"/>
    <w:rPr>
      <w:rFonts w:asciiTheme="majorBidi" w:eastAsiaTheme="majorEastAsia" w:hAnsiTheme="majorBidi" w:cstheme="majorBidi"/>
      <w:i/>
      <w:iCs/>
      <w:color w:val="595959" w:themeColor="text1" w:themeTint="A6"/>
    </w:rPr>
  </w:style>
  <w:style w:type="character" w:customStyle="1" w:styleId="Heading7Char">
    <w:name w:val="Heading 7 Char"/>
    <w:basedOn w:val="DefaultParagraphFont"/>
    <w:link w:val="Heading7"/>
    <w:uiPriority w:val="9"/>
    <w:semiHidden/>
    <w:rsid w:val="00042DF6"/>
    <w:rPr>
      <w:rFonts w:asciiTheme="majorBidi" w:eastAsiaTheme="majorEastAsia" w:hAnsiTheme="majorBidi" w:cstheme="majorBidi"/>
      <w:color w:val="595959" w:themeColor="text1" w:themeTint="A6"/>
    </w:rPr>
  </w:style>
  <w:style w:type="character" w:customStyle="1" w:styleId="Heading8Char">
    <w:name w:val="Heading 8 Char"/>
    <w:basedOn w:val="DefaultParagraphFont"/>
    <w:link w:val="Heading8"/>
    <w:uiPriority w:val="9"/>
    <w:semiHidden/>
    <w:rsid w:val="00042DF6"/>
    <w:rPr>
      <w:rFonts w:asciiTheme="majorBidi" w:eastAsiaTheme="majorEastAsia" w:hAnsiTheme="majorBidi" w:cstheme="majorBidi"/>
      <w:i/>
      <w:iCs/>
      <w:color w:val="272727" w:themeColor="text1" w:themeTint="D8"/>
    </w:rPr>
  </w:style>
  <w:style w:type="character" w:customStyle="1" w:styleId="Heading9Char">
    <w:name w:val="Heading 9 Char"/>
    <w:basedOn w:val="DefaultParagraphFont"/>
    <w:link w:val="Heading9"/>
    <w:uiPriority w:val="9"/>
    <w:semiHidden/>
    <w:rsid w:val="00042DF6"/>
    <w:rPr>
      <w:rFonts w:asciiTheme="majorBidi" w:eastAsiaTheme="majorEastAsia" w:hAnsiTheme="majorBidi" w:cstheme="majorBidi"/>
      <w:color w:val="272727" w:themeColor="text1" w:themeTint="D8"/>
    </w:rPr>
  </w:style>
  <w:style w:type="paragraph" w:styleId="Title">
    <w:name w:val="Title"/>
    <w:basedOn w:val="Normal"/>
    <w:next w:val="Normal"/>
    <w:link w:val="TitleChar"/>
    <w:uiPriority w:val="10"/>
    <w:qFormat/>
    <w:rsid w:val="00042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DF6"/>
    <w:rPr>
      <w:rFonts w:asciiTheme="majorBidi" w:eastAsiaTheme="majorEastAsia" w:hAnsiTheme="majorBidi" w:cstheme="majorBidi"/>
      <w:color w:val="595959" w:themeColor="text1" w:themeTint="A6"/>
      <w:spacing w:val="15"/>
      <w:sz w:val="28"/>
      <w:szCs w:val="28"/>
    </w:rPr>
  </w:style>
  <w:style w:type="paragraph" w:styleId="Quote">
    <w:name w:val="Quote"/>
    <w:basedOn w:val="Normal"/>
    <w:next w:val="Normal"/>
    <w:link w:val="QuoteChar"/>
    <w:uiPriority w:val="29"/>
    <w:qFormat/>
    <w:rsid w:val="00042DF6"/>
    <w:pPr>
      <w:spacing w:before="160"/>
      <w:jc w:val="center"/>
    </w:pPr>
    <w:rPr>
      <w:i/>
      <w:iCs/>
      <w:color w:val="404040" w:themeColor="text1" w:themeTint="BF"/>
    </w:rPr>
  </w:style>
  <w:style w:type="character" w:customStyle="1" w:styleId="QuoteChar">
    <w:name w:val="Quote Char"/>
    <w:basedOn w:val="DefaultParagraphFont"/>
    <w:link w:val="Quote"/>
    <w:uiPriority w:val="29"/>
    <w:rsid w:val="00042DF6"/>
    <w:rPr>
      <w:rFonts w:asciiTheme="majorBidi" w:hAnsiTheme="majorBidi"/>
      <w:i/>
      <w:iCs/>
      <w:color w:val="404040" w:themeColor="text1" w:themeTint="BF"/>
    </w:rPr>
  </w:style>
  <w:style w:type="paragraph" w:styleId="ListParagraph">
    <w:name w:val="List Paragraph"/>
    <w:basedOn w:val="Normal"/>
    <w:uiPriority w:val="34"/>
    <w:qFormat/>
    <w:rsid w:val="00042DF6"/>
    <w:pPr>
      <w:ind w:left="720"/>
      <w:contextualSpacing/>
    </w:pPr>
  </w:style>
  <w:style w:type="character" w:styleId="IntenseEmphasis">
    <w:name w:val="Intense Emphasis"/>
    <w:basedOn w:val="DefaultParagraphFont"/>
    <w:uiPriority w:val="21"/>
    <w:qFormat/>
    <w:rsid w:val="00042DF6"/>
    <w:rPr>
      <w:i/>
      <w:iCs/>
      <w:color w:val="0F4761" w:themeColor="accent1" w:themeShade="BF"/>
    </w:rPr>
  </w:style>
  <w:style w:type="paragraph" w:styleId="IntenseQuote">
    <w:name w:val="Intense Quote"/>
    <w:basedOn w:val="Normal"/>
    <w:next w:val="Normal"/>
    <w:link w:val="IntenseQuoteChar"/>
    <w:uiPriority w:val="30"/>
    <w:qFormat/>
    <w:rsid w:val="00042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DF6"/>
    <w:rPr>
      <w:rFonts w:asciiTheme="majorBidi" w:hAnsiTheme="majorBidi"/>
      <w:i/>
      <w:iCs/>
      <w:color w:val="0F4761" w:themeColor="accent1" w:themeShade="BF"/>
    </w:rPr>
  </w:style>
  <w:style w:type="character" w:styleId="IntenseReference">
    <w:name w:val="Intense Reference"/>
    <w:basedOn w:val="DefaultParagraphFont"/>
    <w:uiPriority w:val="32"/>
    <w:qFormat/>
    <w:rsid w:val="00042DF6"/>
    <w:rPr>
      <w:b/>
      <w:bCs/>
      <w:smallCaps/>
      <w:color w:val="0F4761" w:themeColor="accent1" w:themeShade="BF"/>
      <w:spacing w:val="5"/>
    </w:rPr>
  </w:style>
  <w:style w:type="table" w:styleId="PlainTable2">
    <w:name w:val="Plain Table 2"/>
    <w:basedOn w:val="TableNormal"/>
    <w:uiPriority w:val="42"/>
    <w:rsid w:val="002E69F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2E6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2E69F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2E69F4"/>
    <w:rPr>
      <w:color w:val="666666"/>
    </w:rPr>
  </w:style>
  <w:style w:type="paragraph" w:styleId="Caption">
    <w:name w:val="caption"/>
    <w:aliases w:val="equation"/>
    <w:basedOn w:val="Normal"/>
    <w:next w:val="Normal"/>
    <w:uiPriority w:val="35"/>
    <w:unhideWhenUsed/>
    <w:qFormat/>
    <w:rsid w:val="00042DF6"/>
    <w:pPr>
      <w:spacing w:after="200" w:line="240" w:lineRule="auto"/>
    </w:pPr>
    <w:rPr>
      <w:i/>
      <w:iCs/>
      <w:color w:val="0E2841" w:themeColor="text2"/>
      <w:sz w:val="18"/>
      <w:szCs w:val="18"/>
    </w:rPr>
  </w:style>
  <w:style w:type="character" w:styleId="Hyperlink">
    <w:name w:val="Hyperlink"/>
    <w:basedOn w:val="DefaultParagraphFont"/>
    <w:uiPriority w:val="99"/>
    <w:unhideWhenUsed/>
    <w:rsid w:val="00CB4602"/>
    <w:rPr>
      <w:color w:val="467886"/>
      <w:u w:val="single"/>
    </w:rPr>
  </w:style>
  <w:style w:type="character" w:styleId="FollowedHyperlink">
    <w:name w:val="FollowedHyperlink"/>
    <w:basedOn w:val="DefaultParagraphFont"/>
    <w:uiPriority w:val="99"/>
    <w:semiHidden/>
    <w:unhideWhenUsed/>
    <w:rsid w:val="00CB4602"/>
    <w:rPr>
      <w:color w:val="96607D"/>
      <w:u w:val="single"/>
    </w:rPr>
  </w:style>
  <w:style w:type="paragraph" w:customStyle="1" w:styleId="msonormal0">
    <w:name w:val="msonormal"/>
    <w:basedOn w:val="Normal"/>
    <w:rsid w:val="00CB4602"/>
    <w:pPr>
      <w:spacing w:before="100" w:beforeAutospacing="1" w:after="100" w:afterAutospacing="1" w:line="240" w:lineRule="auto"/>
    </w:pPr>
    <w:rPr>
      <w:rFonts w:ascii="Times New Roman" w:eastAsia="Times New Roman" w:hAnsi="Times New Roman" w:cs="Times New Roman"/>
      <w:kern w:val="0"/>
      <w:sz w:val="24"/>
      <w:szCs w:val="24"/>
      <w:lang w:eastAsia="en-IL"/>
      <w14:ligatures w14:val="none"/>
    </w:rPr>
  </w:style>
  <w:style w:type="paragraph" w:styleId="Header">
    <w:name w:val="header"/>
    <w:basedOn w:val="Normal"/>
    <w:link w:val="HeaderChar"/>
    <w:uiPriority w:val="99"/>
    <w:unhideWhenUsed/>
    <w:rsid w:val="00605D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5D07"/>
  </w:style>
  <w:style w:type="paragraph" w:styleId="Footer">
    <w:name w:val="footer"/>
    <w:basedOn w:val="Normal"/>
    <w:link w:val="FooterChar"/>
    <w:uiPriority w:val="99"/>
    <w:unhideWhenUsed/>
    <w:rsid w:val="00605D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5D07"/>
  </w:style>
  <w:style w:type="table" w:styleId="ListTable6Colorful-Accent6">
    <w:name w:val="List Table 6 Colorful Accent 6"/>
    <w:basedOn w:val="TableNormal"/>
    <w:uiPriority w:val="51"/>
    <w:rsid w:val="002B0335"/>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CommentText">
    <w:name w:val="annotation text"/>
    <w:basedOn w:val="Normal"/>
    <w:link w:val="CommentTextChar"/>
    <w:uiPriority w:val="99"/>
    <w:unhideWhenUsed/>
    <w:rsid w:val="00042DF6"/>
    <w:pPr>
      <w:spacing w:line="240" w:lineRule="auto"/>
    </w:pPr>
    <w:rPr>
      <w:rFonts w:cs="David"/>
      <w:sz w:val="20"/>
      <w:szCs w:val="20"/>
      <w:lang w:val="en-US"/>
    </w:rPr>
  </w:style>
  <w:style w:type="character" w:customStyle="1" w:styleId="CommentTextChar">
    <w:name w:val="Comment Text Char"/>
    <w:basedOn w:val="DefaultParagraphFont"/>
    <w:link w:val="CommentText"/>
    <w:uiPriority w:val="99"/>
    <w:rsid w:val="00042DF6"/>
    <w:rPr>
      <w:rFonts w:asciiTheme="majorBidi" w:hAnsiTheme="majorBidi" w:cs="David"/>
      <w:sz w:val="20"/>
      <w:szCs w:val="20"/>
      <w:lang w:val="en-US"/>
    </w:rPr>
  </w:style>
  <w:style w:type="character" w:styleId="CommentReference">
    <w:name w:val="annotation reference"/>
    <w:basedOn w:val="DefaultParagraphFont"/>
    <w:uiPriority w:val="99"/>
    <w:semiHidden/>
    <w:unhideWhenUsed/>
    <w:rsid w:val="00042DF6"/>
    <w:rPr>
      <w:sz w:val="16"/>
      <w:szCs w:val="16"/>
    </w:rPr>
  </w:style>
  <w:style w:type="paragraph" w:styleId="TOCHeading">
    <w:name w:val="TOC Heading"/>
    <w:basedOn w:val="Heading1"/>
    <w:next w:val="Normal"/>
    <w:uiPriority w:val="39"/>
    <w:semiHidden/>
    <w:unhideWhenUsed/>
    <w:qFormat/>
    <w:rsid w:val="00042DF6"/>
    <w:pPr>
      <w:spacing w:after="0"/>
      <w:outlineLvl w:val="9"/>
    </w:pPr>
    <w:rPr>
      <w:kern w:val="0"/>
      <w:szCs w:val="32"/>
      <w:lang w:bidi="ar-SA"/>
      <w14:ligatures w14:val="none"/>
    </w:rPr>
  </w:style>
  <w:style w:type="character" w:customStyle="1" w:styleId="UnresolvedMention1">
    <w:name w:val="Unresolved Mention1"/>
    <w:basedOn w:val="DefaultParagraphFont"/>
    <w:uiPriority w:val="99"/>
    <w:semiHidden/>
    <w:unhideWhenUsed/>
    <w:rsid w:val="00042DF6"/>
    <w:rPr>
      <w:color w:val="605E5C"/>
      <w:shd w:val="clear" w:color="auto" w:fill="E1DFDD"/>
    </w:rPr>
  </w:style>
  <w:style w:type="paragraph" w:styleId="Bibliography">
    <w:name w:val="Bibliography"/>
    <w:basedOn w:val="Normal"/>
    <w:next w:val="Normal"/>
    <w:uiPriority w:val="37"/>
    <w:unhideWhenUsed/>
    <w:rsid w:val="00042DF6"/>
    <w:pPr>
      <w:tabs>
        <w:tab w:val="left" w:pos="264"/>
      </w:tabs>
      <w:spacing w:after="240" w:line="240" w:lineRule="auto"/>
      <w:ind w:left="264" w:hanging="264"/>
    </w:pPr>
    <w:rPr>
      <w:rFonts w:cs="David"/>
      <w:sz w:val="24"/>
      <w:szCs w:val="24"/>
      <w:lang w:val="en-US"/>
    </w:rPr>
  </w:style>
  <w:style w:type="paragraph" w:styleId="CommentSubject">
    <w:name w:val="annotation subject"/>
    <w:basedOn w:val="CommentText"/>
    <w:next w:val="CommentText"/>
    <w:link w:val="CommentSubjectChar"/>
    <w:uiPriority w:val="99"/>
    <w:semiHidden/>
    <w:unhideWhenUsed/>
    <w:rsid w:val="00042DF6"/>
    <w:rPr>
      <w:b/>
      <w:bCs/>
    </w:rPr>
  </w:style>
  <w:style w:type="character" w:customStyle="1" w:styleId="CommentSubjectChar">
    <w:name w:val="Comment Subject Char"/>
    <w:basedOn w:val="CommentTextChar"/>
    <w:link w:val="CommentSubject"/>
    <w:uiPriority w:val="99"/>
    <w:semiHidden/>
    <w:rsid w:val="00042DF6"/>
    <w:rPr>
      <w:rFonts w:asciiTheme="majorBidi" w:hAnsiTheme="majorBidi" w:cs="David"/>
      <w:b/>
      <w:bCs/>
      <w:sz w:val="20"/>
      <w:szCs w:val="20"/>
      <w:lang w:val="en-US"/>
    </w:rPr>
  </w:style>
  <w:style w:type="paragraph" w:styleId="NormalWeb">
    <w:name w:val="Normal (Web)"/>
    <w:basedOn w:val="Normal"/>
    <w:uiPriority w:val="99"/>
    <w:semiHidden/>
    <w:unhideWhenUsed/>
    <w:rsid w:val="00042DF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UnresolvedMention2">
    <w:name w:val="Unresolved Mention2"/>
    <w:basedOn w:val="DefaultParagraphFont"/>
    <w:uiPriority w:val="99"/>
    <w:rsid w:val="00042DF6"/>
    <w:rPr>
      <w:color w:val="605E5C"/>
      <w:shd w:val="clear" w:color="auto" w:fill="E1DFDD"/>
    </w:rPr>
  </w:style>
  <w:style w:type="paragraph" w:styleId="Revision">
    <w:name w:val="Revision"/>
    <w:hidden/>
    <w:uiPriority w:val="99"/>
    <w:semiHidden/>
    <w:rsid w:val="00042DF6"/>
    <w:pPr>
      <w:spacing w:after="0" w:line="240" w:lineRule="auto"/>
    </w:pPr>
    <w:rPr>
      <w:rFonts w:asciiTheme="majorBidi" w:hAnsiTheme="majorBidi" w:cs="David"/>
      <w:szCs w:val="24"/>
      <w:lang w:val="en"/>
    </w:rPr>
  </w:style>
  <w:style w:type="character" w:customStyle="1" w:styleId="hgkelc">
    <w:name w:val="hgkelc"/>
    <w:basedOn w:val="DefaultParagraphFont"/>
    <w:rsid w:val="00042DF6"/>
  </w:style>
  <w:style w:type="character" w:styleId="PageNumber">
    <w:name w:val="page number"/>
    <w:basedOn w:val="DefaultParagraphFont"/>
    <w:uiPriority w:val="99"/>
    <w:semiHidden/>
    <w:unhideWhenUsed/>
    <w:rsid w:val="00042DF6"/>
  </w:style>
  <w:style w:type="character" w:styleId="UnresolvedMention">
    <w:name w:val="Unresolved Mention"/>
    <w:basedOn w:val="DefaultParagraphFont"/>
    <w:uiPriority w:val="99"/>
    <w:rsid w:val="00042DF6"/>
    <w:rPr>
      <w:color w:val="605E5C"/>
      <w:shd w:val="clear" w:color="auto" w:fill="E1DFDD"/>
    </w:rPr>
  </w:style>
  <w:style w:type="paragraph" w:styleId="BlockText">
    <w:name w:val="Block Text"/>
    <w:basedOn w:val="Normal"/>
    <w:rsid w:val="00042DF6"/>
    <w:pPr>
      <w:tabs>
        <w:tab w:val="left" w:pos="1350"/>
        <w:tab w:val="left" w:pos="6750"/>
        <w:tab w:val="left" w:pos="8280"/>
      </w:tabs>
      <w:autoSpaceDE w:val="0"/>
      <w:autoSpaceDN w:val="0"/>
      <w:spacing w:after="0"/>
      <w:ind w:left="-900" w:right="900"/>
    </w:pPr>
    <w:rPr>
      <w:rFonts w:ascii="Times New Roman" w:eastAsia="Times New Roman" w:hAnsi="Times New Roman" w:cs="Times New Roman"/>
      <w:kern w:val="0"/>
      <w:sz w:val="24"/>
      <w:szCs w:val="24"/>
      <w:lang w:val=""/>
      <w14:ligatures w14:val="none"/>
    </w:rPr>
  </w:style>
  <w:style w:type="numbering" w:customStyle="1" w:styleId="NoList1">
    <w:name w:val="No List1"/>
    <w:next w:val="NoList"/>
    <w:uiPriority w:val="99"/>
    <w:semiHidden/>
    <w:unhideWhenUsed/>
    <w:rsid w:val="00042DF6"/>
  </w:style>
  <w:style w:type="table" w:customStyle="1" w:styleId="PlainTable21">
    <w:name w:val="Plain Table 21"/>
    <w:basedOn w:val="TableNormal"/>
    <w:next w:val="PlainTable2"/>
    <w:uiPriority w:val="42"/>
    <w:rsid w:val="00042DF6"/>
    <w:pPr>
      <w:spacing w:after="0" w:line="240" w:lineRule="auto"/>
    </w:pPr>
    <w:rPr>
      <w:lang w:v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ListTable6Colorful1">
    <w:name w:val="List Table 6 Colorful1"/>
    <w:basedOn w:val="TableNormal"/>
    <w:next w:val="ListTable6Colorful"/>
    <w:uiPriority w:val="51"/>
    <w:rsid w:val="00042DF6"/>
    <w:pPr>
      <w:spacing w:after="0" w:line="240" w:lineRule="auto"/>
    </w:pPr>
    <w:rPr>
      <w:color w:val="000000"/>
      <w:lang w:val=""/>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Accent61">
    <w:name w:val="List Table 6 Colorful - Accent 61"/>
    <w:basedOn w:val="TableNormal"/>
    <w:next w:val="ListTable6Colorful-Accent6"/>
    <w:uiPriority w:val="51"/>
    <w:rsid w:val="00042DF6"/>
    <w:pPr>
      <w:spacing w:after="0" w:line="240" w:lineRule="auto"/>
    </w:pPr>
    <w:rPr>
      <w:color w:val="3A7C22"/>
      <w:lang w:val=""/>
    </w:rPr>
    <w:tblPr>
      <w:tblStyleRowBandSize w:val="1"/>
      <w:tblStyleColBandSize w:val="1"/>
      <w:tblBorders>
        <w:top w:val="single" w:sz="4" w:space="0" w:color="4EA72E"/>
        <w:bottom w:val="single" w:sz="4" w:space="0" w:color="4EA72E"/>
      </w:tblBorders>
    </w:tblPr>
    <w:tblStylePr w:type="firstRow">
      <w:rPr>
        <w:b/>
        <w:bCs/>
      </w:rPr>
      <w:tblPr/>
      <w:tcPr>
        <w:tcBorders>
          <w:bottom w:val="single" w:sz="4" w:space="0" w:color="4EA72E"/>
        </w:tcBorders>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character" w:customStyle="1" w:styleId="cf01">
    <w:name w:val="cf01"/>
    <w:basedOn w:val="DefaultParagraphFont"/>
    <w:rsid w:val="00042DF6"/>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41351">
      <w:bodyDiv w:val="1"/>
      <w:marLeft w:val="0"/>
      <w:marRight w:val="0"/>
      <w:marTop w:val="0"/>
      <w:marBottom w:val="0"/>
      <w:divBdr>
        <w:top w:val="none" w:sz="0" w:space="0" w:color="auto"/>
        <w:left w:val="none" w:sz="0" w:space="0" w:color="auto"/>
        <w:bottom w:val="none" w:sz="0" w:space="0" w:color="auto"/>
        <w:right w:val="none" w:sz="0" w:space="0" w:color="auto"/>
      </w:divBdr>
    </w:div>
    <w:div w:id="533465309">
      <w:bodyDiv w:val="1"/>
      <w:marLeft w:val="0"/>
      <w:marRight w:val="0"/>
      <w:marTop w:val="0"/>
      <w:marBottom w:val="0"/>
      <w:divBdr>
        <w:top w:val="none" w:sz="0" w:space="0" w:color="auto"/>
        <w:left w:val="none" w:sz="0" w:space="0" w:color="auto"/>
        <w:bottom w:val="none" w:sz="0" w:space="0" w:color="auto"/>
        <w:right w:val="none" w:sz="0" w:space="0" w:color="auto"/>
      </w:divBdr>
    </w:div>
    <w:div w:id="1119880490">
      <w:bodyDiv w:val="1"/>
      <w:marLeft w:val="0"/>
      <w:marRight w:val="0"/>
      <w:marTop w:val="0"/>
      <w:marBottom w:val="0"/>
      <w:divBdr>
        <w:top w:val="none" w:sz="0" w:space="0" w:color="auto"/>
        <w:left w:val="none" w:sz="0" w:space="0" w:color="auto"/>
        <w:bottom w:val="none" w:sz="0" w:space="0" w:color="auto"/>
        <w:right w:val="none" w:sz="0" w:space="0" w:color="auto"/>
      </w:divBdr>
    </w:div>
    <w:div w:id="1215198774">
      <w:bodyDiv w:val="1"/>
      <w:marLeft w:val="0"/>
      <w:marRight w:val="0"/>
      <w:marTop w:val="0"/>
      <w:marBottom w:val="0"/>
      <w:divBdr>
        <w:top w:val="none" w:sz="0" w:space="0" w:color="auto"/>
        <w:left w:val="none" w:sz="0" w:space="0" w:color="auto"/>
        <w:bottom w:val="none" w:sz="0" w:space="0" w:color="auto"/>
        <w:right w:val="none" w:sz="0" w:space="0" w:color="auto"/>
      </w:divBdr>
    </w:div>
    <w:div w:id="1285650379">
      <w:bodyDiv w:val="1"/>
      <w:marLeft w:val="0"/>
      <w:marRight w:val="0"/>
      <w:marTop w:val="0"/>
      <w:marBottom w:val="0"/>
      <w:divBdr>
        <w:top w:val="none" w:sz="0" w:space="0" w:color="auto"/>
        <w:left w:val="none" w:sz="0" w:space="0" w:color="auto"/>
        <w:bottom w:val="none" w:sz="0" w:space="0" w:color="auto"/>
        <w:right w:val="none" w:sz="0" w:space="0" w:color="auto"/>
      </w:divBdr>
    </w:div>
    <w:div w:id="1658340228">
      <w:bodyDiv w:val="1"/>
      <w:marLeft w:val="0"/>
      <w:marRight w:val="0"/>
      <w:marTop w:val="0"/>
      <w:marBottom w:val="0"/>
      <w:divBdr>
        <w:top w:val="none" w:sz="0" w:space="0" w:color="auto"/>
        <w:left w:val="none" w:sz="0" w:space="0" w:color="auto"/>
        <w:bottom w:val="none" w:sz="0" w:space="0" w:color="auto"/>
        <w:right w:val="none" w:sz="0" w:space="0" w:color="auto"/>
      </w:divBdr>
    </w:div>
    <w:div w:id="1806466301">
      <w:bodyDiv w:val="1"/>
      <w:marLeft w:val="0"/>
      <w:marRight w:val="0"/>
      <w:marTop w:val="0"/>
      <w:marBottom w:val="0"/>
      <w:divBdr>
        <w:top w:val="none" w:sz="0" w:space="0" w:color="auto"/>
        <w:left w:val="none" w:sz="0" w:space="0" w:color="auto"/>
        <w:bottom w:val="none" w:sz="0" w:space="0" w:color="auto"/>
        <w:right w:val="none" w:sz="0" w:space="0" w:color="auto"/>
      </w:divBdr>
    </w:div>
    <w:div w:id="2079667570">
      <w:bodyDiv w:val="1"/>
      <w:marLeft w:val="0"/>
      <w:marRight w:val="0"/>
      <w:marTop w:val="0"/>
      <w:marBottom w:val="0"/>
      <w:divBdr>
        <w:top w:val="none" w:sz="0" w:space="0" w:color="auto"/>
        <w:left w:val="none" w:sz="0" w:space="0" w:color="auto"/>
        <w:bottom w:val="none" w:sz="0" w:space="0" w:color="auto"/>
        <w:right w:val="none" w:sz="0" w:space="0" w:color="auto"/>
      </w:divBdr>
    </w:div>
    <w:div w:id="2104908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83994-4F68-428F-8E7D-EDDE26770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8</Pages>
  <Words>2225</Words>
  <Characters>12685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Yuval Mualem</dc:creator>
  <cp:keywords/>
  <dc:description/>
  <cp:lastModifiedBy>Yuval Mualem</cp:lastModifiedBy>
  <cp:revision>23</cp:revision>
  <dcterms:created xsi:type="dcterms:W3CDTF">2025-06-29T18:59:00Z</dcterms:created>
  <dcterms:modified xsi:type="dcterms:W3CDTF">2025-11-08T17:08:00Z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id="BQSQPcz1"/&gt;&lt;style id="http://www.zotero.org/styles/joule"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