
<file path=[Content_Types].xml><?xml version="1.0" encoding="utf-8"?>
<Types xmlns="http://schemas.openxmlformats.org/package/2006/content-types">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t>Governed Epistemic Partnership: Uncertainty Notation and Expert Oversight in AI-Assisted Heritage Significance Assessment</w:t>
      </w:r>
    </w:p>
    <w:p>
      <w:pPr>
        <w:pStyle w:val="abstract"/>
      </w:pPr>
      <w:r>
        <w:t>Abstract. Heritage significance assessment requires contextual reasoning, uncertainty calibration, and cross-referencing of diverse evidence — cognitive demands that current theory articulates but practice struggles to implement consistently. We present a governance framework embedding these principles in AI through three mechanisms: a domain ontology structuring context-effect analysis, a three-tier uncertainty notation distinguishing extraction from inference from hypothesis, and mandatory expert checkpoints after each assessment stage. We examine the framework through a case study comparing a formal manual assessment with an AI-assisted assessment of the same megalithic site, conducted by the same expert using the same source documents. The AI-assisted workflow surfaced five cross-source insights absent from the manual assessment — generated by re-processing the expert’s own descriptions — while expert governance caught classification failures, conceptual errors, and analytical overreach. The core finding is that AI and expert exhibit complementary blind spots: the AI under-reads salience while the expert under-connects evidence. The architecture’s value lies not in preventing AI error but in structuring collaboration where uncertainty notation activates the AI’s synthetic capacity and governance activates the expert’s domain judgment.</w:t>
      </w:r>
    </w:p>
    <w:p>
      <w:pPr>
        <w:pStyle w:val="keywords"/>
      </w:pPr>
      <w:r>
        <w:t>Keywords: Cultural heritage significance assessment, AI governance, Epistemic uncertainty, Human-in-the-loop, Context-based significance assessment.</w:t>
      </w:r>
    </w:p>
    <w:p>
      <w:pPr>
        <w:pStyle w:val="heading1"/>
      </w:pPr>
      <w:r>
        <w:t>1   Introduction</w:t>
      </w:r>
    </w:p>
    <w:p>
      <w:pPr>
        <w:pStyle w:val="p1a"/>
      </w:pPr>
      <w:r>
        <w:t>Cultural heritage significance assessment aspires to contextual reasoning across multiple dimensions, systematic treatment of uncertainty, and integration of diverse knowledge sources into coherent value judgments [1, 2]. These principles are well-articulated in contemporary conservation theory and guidance frameworks. Implementing them consistently in practice, however, remains cognitively demanding: each site exists within multiple overlapping contexts — historical, spatial, social, technological — whose reciprocal relationships with heritage values must be traced, weighed, and documented under conditions of incomplete evidence.</w:t>
      </w:r>
    </w:p>
    <w:p>
      <w:pPr/>
      <w:r>
        <w:t>Prior work demonstrated empirically that modelling even a single site’s contextual elements produces an extensive network whose complexity exceeds what individual practitioners can manage consistently [3]. That analysis identified three persistent challenges: managing the combinatorial complexity of context-value relationships, representing multiple legitimate interpretations simultaneously, and operationalizing uncertainty in assessment reasoning.</w:t>
      </w:r>
    </w:p>
    <w:p>
      <w:pPr/>
      <w:r>
        <w:t>Recent applications of artificial intelligence in heritage have addressed important tasks — classification, three-dimensional documentation, condition prediction — that belong to the data pipeline preceding assessment [4, 5]. The interpretive layer where evidence becomes significance — involving value attribution, uncertainty calibration, and contextual reasoning — has received less attention. This gap matters because significance assessment is the activity on which conservation decisions depend, and where trust and accountability are practical requirements, not abstract ideals.</w:t>
      </w:r>
    </w:p>
    <w:p>
      <w:pPr/>
      <w:r>
        <w:t>This paper examines a different question from the prevailing discourse: not whether AI can match expert accuracy in heritage tasks, but under what governance conditions AI-assisted assessment can both operationalize current methodological principles and expand the scope of what can be noticed and questioned. We present a framework embedding context-based significance assessment (CBSA) methodology [3] in a large language model under structured governance, and examine its epistemic possibilities through a case study comparing manual and AI-assisted assessment of the same site by the same expert.</w:t>
      </w:r>
    </w:p>
    <w:p>
      <w:pPr>
        <w:pStyle w:val="heading1"/>
      </w:pPr>
      <w:r>
        <w:t>2   Background</w:t>
      </w:r>
    </w:p>
    <w:p>
      <w:pPr>
        <w:pStyle w:val="heading2"/>
      </w:pPr>
      <w:r>
        <w:t>2.1   Theoretical Framework</w:t>
      </w:r>
    </w:p>
    <w:p>
      <w:pPr>
        <w:pStyle w:val="p1a"/>
      </w:pPr>
      <w:r>
        <w:t>Context-based significance assessment (CBSA) holds that heritage significance emerges from reciprocal relationships between sites and their contexts: a context frames the interpretation of a value, and a value may reframe the understanding of a context [3]. This “context-effect” model requires the assessor to hold multiple contexts simultaneously, cross-reference evidence across them, and calibrate the confidence of each interpretive move — tasks whose cognitive load increases combinatorially with source complexity.</w:t>
      </w:r>
    </w:p>
    <w:p>
      <w:pPr>
        <w:pStyle w:val="heading2"/>
      </w:pPr>
      <w:r>
        <w:t>2.2   Methodology</w:t>
      </w:r>
    </w:p>
    <w:p>
      <w:pPr>
        <w:pStyle w:val="p1a"/>
      </w:pPr>
      <w:r>
        <w:t>We employ directed qualitative content analysis [6] with source-tracing. A formal manual CBSA conducted for a European heritage assessment guidance collection [7] is compared with an AI-assisted assessment of the same site, by the same expert, using the same source documents. Each AI output is traced to its source documents at claim level (n=45) and classified as extraction, cross-source synthesis, overreach, or missed content. The AI-assisted assessment used the governance framework described in Section 3, implemented as a structured prompt system for a large language model; implementation details and workshop evaluation are reported in [8].</w:t>
      </w:r>
    </w:p>
    <w:p>
      <w:pPr/>
      <w:r>
        <w:t>This comparison design controls for site, expert, and source material, isolating the workflow as the variable. The manual assessment’s descriptive sections were provided as input to the AI-assisted workflow; only the significance assessment sections were withheld. New insights produced by the AI therefore emerged from re-processing text the expert herself had written — the difference is the structured methodology, not access to different information.</w:t>
      </w:r>
    </w:p>
    <w:p>
      <w:pPr>
        <w:pStyle w:val="heading1"/>
      </w:pPr>
      <w:r>
        <w:t>3   Governed Epistemic Partnership</w:t>
      </w:r>
    </w:p>
    <w:p>
      <w:pPr>
        <w:pStyle w:val="p1a"/>
      </w:pPr>
      <w:r>
        <w:t>The framework embeds CBSA methodology in AI through three interlocking governance mechanisms.</w:t>
      </w:r>
    </w:p>
    <w:p>
      <w:pPr>
        <w:pStyle w:val="heading2"/>
      </w:pPr>
      <w:r>
        <w:t>3.1   Context-Effect as Ontological Backbone</w:t>
      </w:r>
    </w:p>
    <w:p>
      <w:pPr>
        <w:pStyle w:val="p1a"/>
      </w:pPr>
      <w:r>
        <w:t>The same context-effect model theorized in [3] serves as the AI’s analytical scaffolding. Rather than conducting a generic conversation about heritage, the system structures its analysis around the reciprocal relationships between contexts and values that CBSA defines. This provides domain-theoretic grounding: the AI cross-references not because it is instructed to “be thorough” but because the methodology requires tracing how each context frames specific values and how values reframe the understanding of contexts.</w:t>
      </w:r>
    </w:p>
    <w:p>
      <w:pPr>
        <w:pStyle w:val="heading2"/>
      </w:pPr>
      <w:r>
        <w:t>3.2   Expert Oversight as Accountability Architecture</w:t>
      </w:r>
    </w:p>
    <w:p>
      <w:pPr>
        <w:pStyle w:val="p1a"/>
      </w:pPr>
      <w:r>
        <w:t>The workflow enforces mandatory expert review after each of six assessment stages. The expert’s role is directing the assessment — adding, correcting, rejecting, reframing — not merely checking output. Built-in accountability mechanisms include: a session report providing an auditable trail of all expert interventions; cognitive transparency requiring the AI to expose its reasoning chain; reflective questions designed so two experts could legitimately disagree; and evidence-type tagging making the weight of supporting data visible. Dedicated data-quality governance stages (gap scanning before assessment, quality checking after) were developed directly from practitioner feedback in workshops with approximately 65 heritage professionals [8].</w:t>
      </w:r>
    </w:p>
    <w:p>
      <w:pPr>
        <w:pStyle w:val="heading2"/>
      </w:pPr>
      <w:r>
        <w:t>3.3   Uncertainty Notation as Epistemic Enabler</w:t>
      </w:r>
    </w:p>
    <w:p>
      <w:pPr>
        <w:pStyle w:val="p1a"/>
      </w:pPr>
      <w:r>
        <w:t>The framework’s core mechanism is a three-tier uncertainty notation: claims presented as explicit in sources carry no mark; claims inferred from combining two or more evidence pieces are marked °; and interpretive hypotheses are marked with a dedicated symbol (💭).</w:t>
      </w:r>
    </w:p>
    <w:p>
      <w:pPr/>
      <w:r>
        <w:t>This notation does more than label confidence. It may license the AI to search beyond explicit source text. Without notation, any AI output that goes beyond what sources state is indistinguishable from hallucination — a fabricated claim presented as fact. With notation, such output becomes a marked hypothesis submitted for expert examination. The notation thus transforms a liability (AI generating unsupported claims) into an epistemic resource (AI generating labeled hypotheses from cross-source patterns).</w:t>
      </w:r>
    </w:p>
    <w:p>
      <w:pPr/>
      <w:r>
        <w:t>A technical caveat is essential: this classification relies on the AI’s semantic self-assessment of its own outputs — what has been termed “verbalized confidence” [9] — not on formal probabilistic calibration. The AI is sometimes wrong about its own epistemic status, as the case study will demonstrate. This is precisely why the expert checkpoint exists: the notation surfaces hypotheses for examination; governance determines whether they hold.</w:t>
      </w:r>
    </w:p>
    <w:p>
      <w:pPr>
        <w:pStyle w:val="heading2"/>
      </w:pPr>
      <w:r>
        <w:t>3.4   Workflow and Portability</w:t>
      </w:r>
    </w:p>
    <w:p>
      <w:pPr>
        <w:pStyle w:val="p1a"/>
      </w:pPr>
      <w:r>
        <w:t>The system operates citation-first: every claim must reference specific source passages, and the AI is prohibited from introducing external knowledge. Six assessment modules progress from data gap scanning through contexts, values, authenticity and integrity, comparative analysis, to significance synthesis. The framework is implemented entirely through prompt engineering and is portable across mainstream large language models without model training or fine-tuning. Full specification is provided in [8].</w:t>
      </w:r>
    </w:p>
    <w:p>
      <w:pPr>
        <w:pStyle w:val="heading1"/>
      </w:pPr>
      <w:r>
        <w:t>4   Case Illustration</w:t>
      </w:r>
    </w:p>
    <w:p>
      <w:pPr>
        <w:pStyle w:val="heading2"/>
      </w:pPr>
      <w:r>
        <w:t>4.1   Site and Comparison Design</w:t>
      </w:r>
    </w:p>
    <w:p>
      <w:pPr>
        <w:pStyle w:val="p1a"/>
      </w:pPr>
      <w:r>
        <w:t>The Tuba-Zangariyye dolmen field occupies a basalt hilltop on the Korazim Plateau in northern Israel — a megalithic burial landscape of 43 documented dolmens dated by analogy to the Intermediate Bronze–Middle Bronze IIA period (approximately 4,000 years ago). The site has never been excavated; all chronological attribution rests on typological and regional parallels. Three source documents were provided: a development survey recording physical data, a heritage management case study, and a regional research synthesis. The evidence profile — survey, analogical, and architectural, with no stratigraphic or scientific dating — makes this a site where uncertainty notation is essential: the data requires inference.</w:t>
      </w:r>
    </w:p>
    <w:p>
      <w:pPr/>
      <w:r>
        <w:t>The same site was previously assessed manually by the same expert as part of a European heritage assessment guidance collection (site 7.12 in [7]), using the same source documents in a formal CBSA without AI assistance. The AI-assisted assessment used the governance framework described in Section 3. The expert’s descriptive text from the manual case was included in the AI’s input; only the significance assessment sections were withheld. This permits direct comparison: what did the governed AI-assisted workflow surface that the manual assessment did not, and what did governance catch that the AI got wrong?</w:t>
      </w:r>
    </w:p>
    <w:p>
      <w:pPr>
        <w:pStyle w:val="heading2"/>
      </w:pPr>
      <w:r>
        <w:t>4.2   Cross-Source Synthesis Under Uncertainty Notation</w:t>
      </w:r>
    </w:p>
    <w:p>
      <w:pPr>
        <w:pStyle w:val="p1a"/>
      </w:pPr>
      <w:r>
        <w:t>Three instances illustrate how ° notation enabled the AI to synthesize across sources, producing insights the expert confirmed as absent from her manual assessment of the same site.</w:t>
      </w:r>
    </w:p>
    <w:p>
      <w:pPr/>
      <w:r>
        <w:rPr>
          <w:b/>
        </w:rPr>
        <w:t xml:space="preserve">Social continuity. </w:t>
      </w:r>
      <w:r>
        <w:t>One source’s main text (pp. 46–48) links dolmen builders to semi-nomadic pastoralists through settlement finds; a footnote on a later page (fn. 4, p. 50) notes that this mode of life characterized Bedouin tribes on the same plateau “until recently”; a third source mentions Bedouin grazing in a management context. No source traces the full arc as a single narrative. The AI connected these scattered references into a coherent interpretive frame: “pastoralist populations using the same landscape over four millennia,” reframing the site as “an enduring node in a pastoral territory.” Marked °. The expert responded: “Pattern identification I didn’t identify… turned the focus from the burial structures to the economy of those who built the dolmens — and the connection to the Bedouin.”</w:t>
      </w:r>
    </w:p>
    <w:p>
      <w:pPr/>
      <w:r>
        <w:rPr>
          <w:b/>
        </w:rPr>
        <w:t xml:space="preserve">Intangible heritage. </w:t>
      </w:r>
      <w:r>
        <w:t>A single scholarly footnote listing textual references to dolmens across traditions — Rephaim in Deuteronomy, tombs in Mark, Talmudic Merkolis, Bedouin shelter terminology — was elevated by the AI into a unified heritage value: “a persistent landscape for imagination.” The expert validated this as “a new beautiful insight not written before.”</w:t>
      </w:r>
    </w:p>
    <w:p>
      <w:pPr/>
      <w:r>
        <w:rPr>
          <w:b/>
        </w:rPr>
        <w:t xml:space="preserve">Geographic reframing. </w:t>
      </w:r>
      <w:r>
        <w:t>One source names four springs as location markers; another describes plateau settlement ecology. No source connects them. The AI framed the site as “a resource node within a landscape corridor,” generating a new planning recommendation to include springs in any development buffer. The expert confirmed this was “not written anywhere before.”</w:t>
      </w:r>
    </w:p>
    <w:p>
      <w:pPr>
        <w:pStyle w:val="heading2"/>
      </w:pPr>
      <w:r>
        <w:t>4.3   Overview: The Full Range</w:t>
      </w:r>
    </w:p>
    <w:p>
      <w:pPr>
        <w:pStyle w:val="p1a"/>
      </w:pPr>
      <w:r>
        <w:t>Table 1 presents these synthesis moments alongside governance interventions and missed content, illustrating the full spectrum of AI-expert interaction.</w:t>
      </w:r>
    </w:p>
    <w:p>
      <w:pPr>
        <w:pStyle w:val="tablecaption"/>
      </w:pPr>
      <w:r>
        <w:t>Table 1. Selected assessment moments showing AI output, source basis, epistemic classification, and expert response.</w:t>
      </w:r>
    </w:p>
    <w:tbl>
      <w:tblPr>
        <w:tblW w:type="auto" w:w="0"/>
        <w:tblLook w:firstColumn="1" w:firstRow="1" w:lastColumn="0" w:lastRow="0" w:noHBand="0" w:noVBand="1" w:val="04A0"/>
      </w:tblPr>
      <w:tblGrid>
        <w:gridCol w:w="1384"/>
        <w:gridCol w:w="1384"/>
        <w:gridCol w:w="1384"/>
        <w:gridCol w:w="1384"/>
        <w:gridCol w:w="1384"/>
      </w:tblGrid>
      <w:tr>
        <w:tc>
          <w:tcPr>
            <w:tcW w:type="dxa" w:w="1384"/>
          </w:tcPr>
          <w:p>
            <w:r/>
            <w:r>
              <w:rPr>
                <w:b/>
              </w:rPr>
              <w:t>Moment</w:t>
            </w:r>
          </w:p>
        </w:tc>
        <w:tc>
          <w:tcPr>
            <w:tcW w:type="dxa" w:w="1384"/>
          </w:tcPr>
          <w:p>
            <w:r/>
            <w:r>
              <w:rPr>
                <w:b/>
              </w:rPr>
              <w:t>AI output</w:t>
            </w:r>
          </w:p>
        </w:tc>
        <w:tc>
          <w:tcPr>
            <w:tcW w:type="dxa" w:w="1384"/>
          </w:tcPr>
          <w:p>
            <w:r/>
            <w:r>
              <w:rPr>
                <w:b/>
              </w:rPr>
              <w:t>Source basis</w:t>
            </w:r>
          </w:p>
        </w:tc>
        <w:tc>
          <w:tcPr>
            <w:tcW w:type="dxa" w:w="1384"/>
          </w:tcPr>
          <w:p>
            <w:r/>
            <w:r>
              <w:rPr>
                <w:b/>
              </w:rPr>
              <w:t>Status</w:t>
            </w:r>
          </w:p>
        </w:tc>
        <w:tc>
          <w:tcPr>
            <w:tcW w:type="dxa" w:w="1384"/>
          </w:tcPr>
          <w:p>
            <w:r/>
            <w:r>
              <w:rPr>
                <w:b/>
              </w:rPr>
              <w:t>Expert action</w:t>
            </w:r>
          </w:p>
        </w:tc>
      </w:tr>
      <w:tr>
        <w:tc>
          <w:tcPr>
            <w:tcW w:type="dxa" w:w="1384"/>
          </w:tcPr>
          <w:p>
            <w:r>
              <w:t>Social continuity</w:t>
            </w:r>
          </w:p>
        </w:tc>
        <w:tc>
          <w:tcPr>
            <w:tcW w:type="dxa" w:w="1384"/>
          </w:tcPr>
          <w:p>
            <w:r>
              <w:t>“Pastoralist populations… four millennia”</w:t>
            </w:r>
          </w:p>
        </w:tc>
        <w:tc>
          <w:tcPr>
            <w:tcW w:type="dxa" w:w="1384"/>
          </w:tcPr>
          <w:p>
            <w:r>
              <w:t>Three sources, scattered across main text, footnote, management context</w:t>
            </w:r>
          </w:p>
        </w:tc>
        <w:tc>
          <w:tcPr>
            <w:tcW w:type="dxa" w:w="1384"/>
          </w:tcPr>
          <w:p>
            <w:r>
              <w:t>°</w:t>
            </w:r>
          </w:p>
        </w:tc>
        <w:tc>
          <w:tcPr>
            <w:tcW w:type="dxa" w:w="1384"/>
          </w:tcPr>
          <w:p>
            <w:r>
              <w:t>Validated: “pattern I didn’t identify”</w:t>
            </w:r>
          </w:p>
        </w:tc>
      </w:tr>
      <w:tr>
        <w:tc>
          <w:tcPr>
            <w:tcW w:type="dxa" w:w="1384"/>
          </w:tcPr>
          <w:p>
            <w:r>
              <w:t>Intangible heritage</w:t>
            </w:r>
          </w:p>
        </w:tc>
        <w:tc>
          <w:tcPr>
            <w:tcW w:type="dxa" w:w="1384"/>
          </w:tcPr>
          <w:p>
            <w:r>
              <w:t>Footnote material → unified heritage value</w:t>
            </w:r>
          </w:p>
        </w:tc>
        <w:tc>
          <w:tcPr>
            <w:tcW w:type="dxa" w:w="1384"/>
          </w:tcPr>
          <w:p>
            <w:r>
              <w:t>Single footnote listing references across traditions</w:t>
            </w:r>
          </w:p>
        </w:tc>
        <w:tc>
          <w:tcPr>
            <w:tcW w:type="dxa" w:w="1384"/>
          </w:tcPr>
          <w:p>
            <w:r>
              <w:t>°</w:t>
            </w:r>
          </w:p>
        </w:tc>
        <w:tc>
          <w:tcPr>
            <w:tcW w:type="dxa" w:w="1384"/>
          </w:tcPr>
          <w:p>
            <w:r>
              <w:t>Validated: “new beautiful insight”</w:t>
            </w:r>
          </w:p>
        </w:tc>
      </w:tr>
      <w:tr>
        <w:tc>
          <w:tcPr>
            <w:tcW w:type="dxa" w:w="1384"/>
          </w:tcPr>
          <w:p>
            <w:r>
              <w:t>Geographic reframing</w:t>
            </w:r>
          </w:p>
        </w:tc>
        <w:tc>
          <w:tcPr>
            <w:tcW w:type="dxa" w:w="1384"/>
          </w:tcPr>
          <w:p>
            <w:r>
              <w:t>“Resource node in a landscape corridor”</w:t>
            </w:r>
          </w:p>
        </w:tc>
        <w:tc>
          <w:tcPr>
            <w:tcW w:type="dxa" w:w="1384"/>
          </w:tcPr>
          <w:p>
            <w:r>
              <w:t>Two sources: springs + settlement ecology</w:t>
            </w:r>
          </w:p>
        </w:tc>
        <w:tc>
          <w:tcPr>
            <w:tcW w:type="dxa" w:w="1384"/>
          </w:tcPr>
          <w:p>
            <w:r>
              <w:t>°</w:t>
            </w:r>
          </w:p>
        </w:tc>
        <w:tc>
          <w:tcPr>
            <w:tcW w:type="dxa" w:w="1384"/>
          </w:tcPr>
          <w:p>
            <w:r>
              <w:t>Validated + new planning recommendation</w:t>
            </w:r>
          </w:p>
        </w:tc>
      </w:tr>
      <w:tr>
        <w:tc>
          <w:tcPr>
            <w:tcW w:type="dxa" w:w="1384"/>
          </w:tcPr>
          <w:p>
            <w:r>
              <w:t>“Hierarchical network”</w:t>
            </w:r>
          </w:p>
        </w:tc>
        <w:tc>
          <w:tcPr>
            <w:tcW w:type="dxa" w:w="1384"/>
          </w:tcPr>
          <w:p>
            <w:r>
              <w:t>Differentiation reframed as hierarchy</w:t>
            </w:r>
          </w:p>
        </w:tc>
        <w:tc>
          <w:tcPr>
            <w:tcW w:type="dxa" w:w="1384"/>
          </w:tcPr>
          <w:p>
            <w:r>
              <w:t>Hedged source language: “it is possible… may have”</w:t>
            </w:r>
          </w:p>
        </w:tc>
        <w:tc>
          <w:tcPr>
            <w:tcW w:type="dxa" w:w="1384"/>
          </w:tcPr>
          <w:p>
            <w:r>
              <w:t>Unmarked — should be hypothesis</w:t>
            </w:r>
          </w:p>
        </w:tc>
        <w:tc>
          <w:tcPr>
            <w:tcW w:type="dxa" w:w="1384"/>
          </w:tcPr>
          <w:p>
            <w:r>
              <w:t>Expert challenged; AI acknowledged overreach</w:t>
            </w:r>
          </w:p>
        </w:tc>
      </w:tr>
      <w:tr>
        <w:tc>
          <w:tcPr>
            <w:tcW w:type="dxa" w:w="1384"/>
          </w:tcPr>
          <w:p>
            <w:r>
              <w:t>Corbelling prototype</w:t>
            </w:r>
          </w:p>
        </w:tc>
        <w:tc>
          <w:tcPr>
            <w:tcW w:type="dxa" w:w="1384"/>
          </w:tcPr>
          <w:p>
            <w:r>
              <w:t>Not surfaced</w:t>
            </w:r>
          </w:p>
        </w:tc>
        <w:tc>
          <w:tcPr>
            <w:tcW w:type="dxa" w:w="1384"/>
          </w:tcPr>
          <w:p>
            <w:r>
              <w:t>Explicit research hypothesis in source</w:t>
            </w:r>
          </w:p>
        </w:tc>
        <w:tc>
          <w:tcPr>
            <w:tcW w:type="dxa" w:w="1384"/>
          </w:tcPr>
          <w:p>
            <w:r>
              <w:t>Missed</w:t>
            </w:r>
          </w:p>
        </w:tc>
        <w:tc>
          <w:tcPr>
            <w:tcW w:type="dxa" w:w="1384"/>
          </w:tcPr>
          <w:p>
            <w:r>
              <w:t>Not caught by AI or expert</w:t>
            </w:r>
          </w:p>
        </w:tc>
      </w:tr>
    </w:tbl>
    <w:p>
      <w:pPr>
        <w:pStyle w:val="heading2"/>
      </w:pPr>
      <w:r>
        <w:t>4.4   Governance Catching Classification Failure</w:t>
      </w:r>
    </w:p>
    <w:p>
      <w:pPr>
        <w:pStyle w:val="p1a"/>
      </w:pPr>
      <w:r>
        <w:t>One source uses hedged language — “it is possible,” “may have” — about the site’s possible regional significance. The AI reframed this as “a hierarchically organized network,” introducing structural language absent from any source. Crucially, this was not marked as a hypothesis. The expert challenged: “Is this framing a hypothesis of the bot or clearly written in the sources?” The AI acknowledged: “The phrase ‘hierarchically organized network’ is my interpretive framing — it goes beyond what the sources state.” This demonstrates that the AI can generate interesting hypotheses, that its own epistemic classification fails at the boundary between inference and speculation, and that expert governance catches what notation alone misses.</w:t>
      </w:r>
    </w:p>
    <w:p>
      <w:pPr>
        <w:pStyle w:val="heading2"/>
      </w:pPr>
      <w:r>
        <w:t>4.5   Quantitative Summary</w:t>
      </w:r>
    </w:p>
    <w:p>
      <w:pPr>
        <w:pStyle w:val="p1a"/>
      </w:pPr>
      <w:r>
        <w:t>Across the full assessment, 45 substantive claims were traced at item level. Of 18 claims carrying epistemic markers (° or hypothesis), 17 were correctly classified (94%). Content errors — scope misjudgment, conceptual misapplication, amplified speculation — were caught by governance, not by notation.</w:t>
      </w:r>
    </w:p>
    <w:p>
      <w:pPr>
        <w:pStyle w:val="heading2"/>
      </w:pPr>
      <w:r>
        <w:t>4.6   What Neither Caught</w:t>
      </w:r>
    </w:p>
    <w:p>
      <w:pPr>
        <w:pStyle w:val="p1a"/>
      </w:pPr>
      <w:r>
        <w:t>One source explicitly poses the research question of whether corbelled dolmens could be prototypes for later Canaanite tomb construction — a provocation neither the AI nor the expert surfaced. This is evidence of complementary coverage rather than exhaustive analysis: a second pass, or a different expert, would catch different things.</w:t>
      </w:r>
    </w:p>
    <w:p>
      <w:pPr>
        <w:pStyle w:val="heading2"/>
      </w:pPr>
      <w:r>
        <w:t>4.7   Practitioner Context</w:t>
      </w:r>
    </w:p>
    <w:p>
      <w:pPr>
        <w:pStyle w:val="p1a"/>
      </w:pPr>
      <w:r>
        <w:t>Earlier versions of the framework were used by approximately 65 heritage professionals in workshops organized by international heritage bodies. The most significant finding was that practitioners identified data quality as the critical factor determining output usefulness — leading directly to dedicated governance stages for data gap scanning and quality checking.</w:t>
      </w:r>
    </w:p>
    <w:p>
      <w:pPr>
        <w:pStyle w:val="heading1"/>
      </w:pPr>
      <w:r>
        <w:t>5   Discussion</w:t>
      </w:r>
    </w:p>
    <w:p>
      <w:pPr>
        <w:pStyle w:val="heading2"/>
      </w:pPr>
      <w:r>
        <w:t>5.1   Complementary Blind Spots</w:t>
      </w:r>
    </w:p>
    <w:p>
      <w:pPr>
        <w:pStyle w:val="p1a"/>
      </w:pPr>
      <w:r>
        <w:t>The case study reveals a structural finding: AI and expert fail differently. The AI under-reads salience — it misses which content carries interpretive weight for the domain (explicit research questions, central site enigmas). The expert under-connects evidence — she misses cross-source patterns the AI catches (data scattered across documents, sections, and footnotes). This is not “AI is flawed, therefore humans must check it.” It is: the architecture structures a collaboration where each compensates for the other. The manual assessment identified five heritage values; the AI-assisted assessment identified seven and produced five cross-source insights absent from the manual — all from re-reading the expert’s own descriptions.</w:t>
      </w:r>
    </w:p>
    <w:p>
      <w:pPr>
        <w:pStyle w:val="heading2"/>
      </w:pPr>
      <w:r>
        <w:t>5.2   Trust as Structural Governance</w:t>
      </w:r>
    </w:p>
    <w:p>
      <w:pPr>
        <w:pStyle w:val="p1a"/>
      </w:pPr>
      <w:r>
        <w:t>The governance framework addresses trust not through accuracy verification but through warranted confidence: structured mechanisms ensuring that what exceeds individual cognitive capacity is nonetheless governed. Prior work showed that CBSA produces networks too complex for individual experts to manage consistently [3]; the framework examined here distributes that cognitive load between human salience judgment and AI pattern-detection under explicit epistemic labeling.</w:t>
      </w:r>
    </w:p>
    <w:p>
      <w:pPr>
        <w:pStyle w:val="heading2"/>
      </w:pPr>
      <w:r>
        <w:t>5.3   Epistemic Implications</w:t>
      </w:r>
    </w:p>
    <w:p>
      <w:pPr>
        <w:pStyle w:val="p1a"/>
      </w:pPr>
      <w:r>
        <w:t>The case suggests a shift from assessment-as-report to assessment-as-inquiry. The governed AI-assisted workflow produces not only conclusions but also hypotheses and unexpected connections — a category of output (“machine-generated hypotheses for expert examination”) that the manual process does not systematically generate. Each assessment potentially surfaces patterns that may inform future research, not merely document current understanding.</w:t>
      </w:r>
    </w:p>
    <w:p>
      <w:pPr>
        <w:pStyle w:val="heading2"/>
      </w:pPr>
      <w:r>
        <w:t>5.4   Limitations</w:t>
      </w:r>
    </w:p>
    <w:p>
      <w:pPr>
        <w:pStyle w:val="p1a"/>
      </w:pPr>
      <w:r>
        <w:t>This is a preliminary demonstration based on a single case with a single expert. The same expert produced the source descriptions, conducted the AI-assisted assessment, and validated the output — a design feature of the tool (the expert works with her own material) but a limitation for independent validation. The uncertainty notation relies on AI self-assessment, not formal calibration, and the hierarchy example demonstrates empirically that this classification is approximate. The workflow is not exhaustive: the corbelling example shows both AI and expert can miss explicit source content. Formal calibration across site types, experts, and platforms is identified as priority future work.</w:t>
      </w:r>
    </w:p>
    <w:p>
      <w:pPr>
        <w:pStyle w:val="heading1"/>
      </w:pPr>
      <w:r>
        <w:t>6   Conclusions</w:t>
      </w:r>
    </w:p>
    <w:p>
      <w:pPr>
        <w:pStyle w:val="p1a"/>
      </w:pPr>
      <w:r>
        <w:t>Current heritage assessment theory articulates principles — contextual reasoning, systematic uncertainty, multiple interpretations — that practice struggles to implement consistently. We examined whether embedding these principles in AI under structured governance both operationalizes them and opens new lines of inquiry. Preliminary evidence from comparing manual and AI-assisted assessment of the same site suggests it does: the governed workflow surfaced insights absent from manual assessment, while governance caught failures the notation system alone could not.</w:t>
      </w:r>
    </w:p>
    <w:p>
      <w:pPr/>
      <w:r>
        <w:t>The core finding is structural: AI and expert exhibit complementary blind spots. The architecture’s value is not preventing AI error — it is structuring a collaboration where uncertainty notation activates the AI’s capacity for cross-source synthesis and expert governance activates domain judgment about what matters. Neither mechanism is sufficient alone; together they produce an assessment richer than either could achieve independently.</w:t>
      </w:r>
    </w:p>
    <w:p>
      <w:pPr>
        <w:pStyle w:val="heading1"/>
      </w:pPr>
      <w:r>
        <w:t>References</w:t>
      </w:r>
    </w:p>
    <w:p>
      <w:pPr>
        <w:pStyle w:val="referenceitem"/>
      </w:pPr>
      <w:r>
        <w:t>1. Avrami, E., Mason, R.: Mapping the Issue of Values. In: Avrami, E., Macdonald, S., Mason, R., Myers, D. (eds.) Values in Heritage Management: Emerging Approaches and Research Directions, pp. 9–33. The Getty Conservation Institute, Los Angeles (2019)</w:t>
      </w:r>
    </w:p>
    <w:p>
      <w:pPr>
        <w:pStyle w:val="referenceitem"/>
      </w:pPr>
      <w:r>
        <w:t>2. EAC: Guidance on the assessment of significance. European Archaeological Council Guidance Document 9 (2025)</w:t>
      </w:r>
    </w:p>
    <w:p>
      <w:pPr>
        <w:pStyle w:val="referenceitem"/>
      </w:pPr>
      <w:r>
        <w:t>3. [Anon.]: [Title withheld for review]. (2024)</w:t>
      </w:r>
    </w:p>
    <w:p>
      <w:pPr>
        <w:pStyle w:val="referenceitem"/>
      </w:pPr>
      <w:r>
        <w:t>4. Bai, N., Nourian, P., Luo, R., Pereira Roders, A.: Heri-Graphs: A dataset creation framework for multi-modal machine learning on graphs of heritage values and attributes with social media. ISPRS Journal of Photogrammetry and Remote Sensing 203, 469–495 (2023)</w:t>
      </w:r>
    </w:p>
    <w:p>
      <w:pPr>
        <w:pStyle w:val="referenceitem"/>
      </w:pPr>
      <w:r>
        <w:t>5. Pan, Y., Zhang, L., Li, Z.: Review of AI-based methods for cultural heritage conservation. Journal of Cultural Heritage 70, 170–182 (2024)</w:t>
      </w:r>
    </w:p>
    <w:p>
      <w:pPr>
        <w:pStyle w:val="referenceitem"/>
      </w:pPr>
      <w:r>
        <w:t>6. Hsieh, H.-F., Shannon, S.E.: Three approaches to qualitative content analysis. Qualitative Health Research 15(9), 1277–1288 (2005)</w:t>
      </w:r>
    </w:p>
    <w:p>
      <w:pPr>
        <w:pStyle w:val="referenceitem"/>
      </w:pPr>
      <w:r>
        <w:t>7. EAC: Significance in Practice — Case Studies from Europe. European Archaeological Council Guidance Document 11 (2026)</w:t>
      </w:r>
    </w:p>
    <w:p>
      <w:pPr>
        <w:pStyle w:val="referenceitem"/>
      </w:pPr>
      <w:r>
        <w:t>8. [Anon.]: [Title withheld for review]. In: Proceedings of CAA 2026 (2026)</w:t>
      </w:r>
    </w:p>
    <w:p>
      <w:pPr>
        <w:pStyle w:val="referenceitem"/>
      </w:pPr>
      <w:r>
        <w:t>9. Xiong, M., Hu, Z., Lu, X., Li, Y., Fu, J., He, J., Hooi, B.: Can LLMs express their uncertainty? An empirical evaluation of confidence elicitation in LLMs. In: Proceedings of ICLR 2024 (2024)</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