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Cultural Significance Assessment Report: Grand Central Market</w:t>
      </w:r>
    </w:p>
    <w:p>
      <w:pPr>
        <w:pStyle w:val="Heading1"/>
      </w:pPr>
      <w:r>
        <w:t>0 — Pre-check &amp; Data-Gap Scan</w:t>
      </w:r>
    </w:p>
    <w:p>
      <w:r>
        <w:t>Summary:</w:t>
        <w:br/>
        <w:t>The Grand Central Market (Los Angeles) occupies the ground floor of the Homer Laughlin Building and its annex, constructed in 1898–1905 in the Beaux Arts style. It opened as a market in 1917, modernized across decades, and remains a landmark commercial and social hub. Architects John Parkinson, Thornton Fitzhugh, and Harrison Albright shaped its early phases. The property underwent major alterations (1939, 1962, 1991, 1994) and is listed in the National and California Registers as part of the Broadway Theater and Commercial District.</w:t>
      </w:r>
    </w:p>
    <w:p>
      <w:pPr>
        <w:pStyle w:val="Heading2"/>
      </w:pPr>
      <w:r>
        <w:t>Checklist</w:t>
      </w:r>
    </w:p>
    <w:tbl>
      <w:tblPr>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Status</w:t>
            </w:r>
          </w:p>
        </w:tc>
        <w:tc>
          <w:tcPr>
            <w:tcW w:type="dxa" w:w="2880"/>
          </w:tcPr>
          <w:p>
            <w:r>
              <w:t>Note</w:t>
            </w:r>
          </w:p>
        </w:tc>
      </w:tr>
      <w:tr>
        <w:tc>
          <w:tcPr>
            <w:tcW w:type="dxa" w:w="2880"/>
          </w:tcPr>
          <w:p>
            <w:r>
              <w:t>Location &amp; Setting</w:t>
            </w:r>
          </w:p>
        </w:tc>
        <w:tc>
          <w:tcPr>
            <w:tcW w:type="dxa" w:w="2880"/>
          </w:tcPr>
          <w:p>
            <w:r>
              <w:t>✓</w:t>
            </w:r>
          </w:p>
        </w:tc>
        <w:tc>
          <w:tcPr>
            <w:tcW w:type="dxa" w:w="2880"/>
          </w:tcPr>
          <w:p>
            <w:r>
              <w:t>Downtown Los Angeles, Broadway–Hill block</w:t>
            </w:r>
          </w:p>
        </w:tc>
      </w:tr>
      <w:tr>
        <w:tc>
          <w:tcPr>
            <w:tcW w:type="dxa" w:w="2880"/>
          </w:tcPr>
          <w:p>
            <w:r>
              <w:t>Original Function &amp; Dates</w:t>
            </w:r>
          </w:p>
        </w:tc>
        <w:tc>
          <w:tcPr>
            <w:tcW w:type="dxa" w:w="2880"/>
          </w:tcPr>
          <w:p>
            <w:r>
              <w:t>✓</w:t>
            </w:r>
          </w:p>
        </w:tc>
        <w:tc>
          <w:tcPr>
            <w:tcW w:type="dxa" w:w="2880"/>
          </w:tcPr>
          <w:p>
            <w:r>
              <w:t>Homer Laughlin Building, 1898; Annex, 1905</w:t>
            </w:r>
          </w:p>
        </w:tc>
      </w:tr>
      <w:tr>
        <w:tc>
          <w:tcPr>
            <w:tcW w:type="dxa" w:w="2880"/>
          </w:tcPr>
          <w:p>
            <w:r>
              <w:t>Evolution / Phases</w:t>
            </w:r>
          </w:p>
        </w:tc>
        <w:tc>
          <w:tcPr>
            <w:tcW w:type="dxa" w:w="2880"/>
          </w:tcPr>
          <w:p>
            <w:r>
              <w:t>Partial</w:t>
            </w:r>
          </w:p>
        </w:tc>
        <w:tc>
          <w:tcPr>
            <w:tcW w:type="dxa" w:w="2880"/>
          </w:tcPr>
          <w:p>
            <w:r>
              <w:t>Market since 1917; major alterations 1939–94; timeline incomplete post-1994</w:t>
            </w:r>
          </w:p>
        </w:tc>
      </w:tr>
      <w:tr>
        <w:tc>
          <w:tcPr>
            <w:tcW w:type="dxa" w:w="2880"/>
          </w:tcPr>
          <w:p>
            <w:r>
              <w:t>Contexts (social, historical, etc.)</w:t>
            </w:r>
          </w:p>
        </w:tc>
        <w:tc>
          <w:tcPr>
            <w:tcW w:type="dxa" w:w="2880"/>
          </w:tcPr>
          <w:p>
            <w:r>
              <w:t>Partial</w:t>
            </w:r>
          </w:p>
        </w:tc>
        <w:tc>
          <w:tcPr>
            <w:tcW w:type="dxa" w:w="2880"/>
          </w:tcPr>
          <w:p>
            <w:r>
              <w:t>Bunker Hill residents, Angels Flight, Broadway district; need more community voices</w:t>
            </w:r>
          </w:p>
        </w:tc>
      </w:tr>
      <w:tr>
        <w:tc>
          <w:tcPr>
            <w:tcW w:type="dxa" w:w="2880"/>
          </w:tcPr>
          <w:p>
            <w:r>
              <w:t>Physical Description</w:t>
            </w:r>
          </w:p>
        </w:tc>
        <w:tc>
          <w:tcPr>
            <w:tcW w:type="dxa" w:w="2880"/>
          </w:tcPr>
          <w:p>
            <w:r>
              <w:t>✓</w:t>
            </w:r>
          </w:p>
        </w:tc>
        <w:tc>
          <w:tcPr>
            <w:tcW w:type="dxa" w:w="2880"/>
          </w:tcPr>
          <w:p>
            <w:r>
              <w:t>Concrete, brick, terra cotta; stalls, atrium, apartments, offices</w:t>
            </w:r>
          </w:p>
        </w:tc>
      </w:tr>
      <w:tr>
        <w:tc>
          <w:tcPr>
            <w:tcW w:type="dxa" w:w="2880"/>
          </w:tcPr>
          <w:p>
            <w:r>
              <w:t>Finds / Artefacts</w:t>
            </w:r>
          </w:p>
        </w:tc>
        <w:tc>
          <w:tcPr>
            <w:tcW w:type="dxa" w:w="2880"/>
          </w:tcPr>
          <w:p>
            <w:r>
              <w:t>—</w:t>
            </w:r>
          </w:p>
        </w:tc>
        <w:tc>
          <w:tcPr>
            <w:tcW w:type="dxa" w:w="2880"/>
          </w:tcPr>
          <w:p>
            <w:r>
              <w:t>No artefacts, signage, or movable heritage noted</w:t>
            </w:r>
          </w:p>
        </w:tc>
      </w:tr>
    </w:tbl>
    <w:p>
      <w:pPr>
        <w:pStyle w:val="Heading2"/>
      </w:pPr>
      <w:r>
        <w:t>Gaps</w:t>
      </w:r>
    </w:p>
    <w:p>
      <w:r>
        <w:t>• Missing timeline of changes post-1994</w:t>
        <w:br/>
        <w:t>• Lack of community narratives</w:t>
        <w:br/>
        <w:t>• No detail on fixtures/artefacts tied to identity</w:t>
      </w:r>
    </w:p>
    <w:p>
      <w:pPr>
        <w:pStyle w:val="Heading2"/>
      </w:pPr>
      <w:r>
        <w:t>Data Suggestions</w:t>
      </w:r>
    </w:p>
    <w:p>
      <w:r>
        <w:t>• Add historic and current photos</w:t>
        <w:br/>
        <w:t>• Obtain archival/stakeholder accounts</w:t>
        <w:br/>
        <w:t>• Include architectural drawings or conservation reports post-1994</w:t>
      </w:r>
    </w:p>
    <w:p>
      <w:pPr>
        <w:pStyle w:val="Heading1"/>
      </w:pPr>
      <w:r>
        <w:t>1 — Contexts &amp; Asset Description</w:t>
      </w:r>
    </w:p>
    <w:p>
      <w:r>
        <w:t>Grand Central Market is located in Downtown Los Angeles, spanning the block between Broadway and Hill Street. It occupies the Homer Laughlin Building (1898) and the Laughlin Annex (1905). The market opened in 1917 and continues as a major public market. It has undergone major renovations (1939, 1962, 1991, 1994). Contexts include: urban (Broadway/Hill anchor), historical (Bunker Hill to immigrant communities), social (public gathering), architectural (Beaux Arts commercial block), and thematic (continuity of marketplaces).</w:t>
      </w:r>
    </w:p>
    <w:p>
      <w:pPr>
        <w:pStyle w:val="Heading2"/>
      </w:pPr>
      <w:r>
        <w:t>Timeline</w:t>
      </w:r>
    </w:p>
    <w:tbl>
      <w:tblPr>
        <w:tblW w:type="auto" w:w="0"/>
        <w:tblLook w:firstColumn="1" w:firstRow="1" w:lastColumn="0" w:lastRow="0" w:noHBand="0" w:noVBand="1" w:val="04A0"/>
      </w:tblPr>
      <w:tblGrid>
        <w:gridCol w:w="2160"/>
        <w:gridCol w:w="2160"/>
        <w:gridCol w:w="2160"/>
        <w:gridCol w:w="2160"/>
      </w:tblGrid>
      <w:tr>
        <w:tc>
          <w:tcPr>
            <w:tcW w:type="dxa" w:w="2160"/>
          </w:tcPr>
          <w:p>
            <w:r>
              <w:t>Date/Range</w:t>
            </w:r>
          </w:p>
        </w:tc>
        <w:tc>
          <w:tcPr>
            <w:tcW w:type="dxa" w:w="2160"/>
          </w:tcPr>
          <w:p>
            <w:r>
              <w:t>Functional Change</w:t>
            </w:r>
          </w:p>
        </w:tc>
        <w:tc>
          <w:tcPr>
            <w:tcW w:type="dxa" w:w="2160"/>
          </w:tcPr>
          <w:p>
            <w:r>
              <w:t>Fabric/Structural Change</w:t>
            </w:r>
          </w:p>
        </w:tc>
        <w:tc>
          <w:tcPr>
            <w:tcW w:type="dxa" w:w="2160"/>
          </w:tcPr>
          <w:p>
            <w:r>
              <w:t>Source/Note</w:t>
            </w:r>
          </w:p>
        </w:tc>
      </w:tr>
      <w:tr>
        <w:tc>
          <w:tcPr>
            <w:tcW w:type="dxa" w:w="2160"/>
          </w:tcPr>
          <w:p>
            <w:r>
              <w:t>1898</w:t>
            </w:r>
          </w:p>
        </w:tc>
        <w:tc>
          <w:tcPr>
            <w:tcW w:type="dxa" w:w="2160"/>
          </w:tcPr>
          <w:p>
            <w:r>
              <w:t>—</w:t>
            </w:r>
          </w:p>
        </w:tc>
        <w:tc>
          <w:tcPr>
            <w:tcW w:type="dxa" w:w="2160"/>
          </w:tcPr>
          <w:p>
            <w:r>
              <w:t>Homer Laughlin Building completed, Beaux Arts</w:t>
            </w:r>
          </w:p>
        </w:tc>
        <w:tc>
          <w:tcPr>
            <w:tcW w:type="dxa" w:w="2160"/>
          </w:tcPr>
          <w:p>
            <w:r>
              <w:t>John Parkinson</w:t>
            </w:r>
          </w:p>
        </w:tc>
      </w:tr>
      <w:tr>
        <w:tc>
          <w:tcPr>
            <w:tcW w:type="dxa" w:w="2160"/>
          </w:tcPr>
          <w:p>
            <w:r>
              <w:t>1905</w:t>
            </w:r>
          </w:p>
        </w:tc>
        <w:tc>
          <w:tcPr>
            <w:tcW w:type="dxa" w:w="2160"/>
          </w:tcPr>
          <w:p>
            <w:r>
              <w:t>—</w:t>
            </w:r>
          </w:p>
        </w:tc>
        <w:tc>
          <w:tcPr>
            <w:tcW w:type="dxa" w:w="2160"/>
          </w:tcPr>
          <w:p>
            <w:r>
              <w:t>Annex constructed</w:t>
            </w:r>
          </w:p>
        </w:tc>
        <w:tc>
          <w:tcPr>
            <w:tcW w:type="dxa" w:w="2160"/>
          </w:tcPr>
          <w:p>
            <w:r>
              <w:t>Fitzhugh &amp; Albright</w:t>
            </w:r>
          </w:p>
        </w:tc>
      </w:tr>
      <w:tr>
        <w:tc>
          <w:tcPr>
            <w:tcW w:type="dxa" w:w="2160"/>
          </w:tcPr>
          <w:p>
            <w:r>
              <w:t>1917</w:t>
            </w:r>
          </w:p>
        </w:tc>
        <w:tc>
          <w:tcPr>
            <w:tcW w:type="dxa" w:w="2160"/>
          </w:tcPr>
          <w:p>
            <w:r>
              <w:t>Market opened</w:t>
            </w:r>
          </w:p>
        </w:tc>
        <w:tc>
          <w:tcPr>
            <w:tcW w:type="dxa" w:w="2160"/>
          </w:tcPr>
          <w:p>
            <w:r>
              <w:t>Ground floor converted</w:t>
            </w:r>
          </w:p>
        </w:tc>
        <w:tc>
          <w:tcPr>
            <w:tcW w:type="dxa" w:w="2160"/>
          </w:tcPr>
          <w:p>
            <w:r>
              <w:t>Grand Central Market established</w:t>
            </w:r>
          </w:p>
        </w:tc>
      </w:tr>
      <w:tr>
        <w:tc>
          <w:tcPr>
            <w:tcW w:type="dxa" w:w="2160"/>
          </w:tcPr>
          <w:p>
            <w:r>
              <w:t>1939</w:t>
            </w:r>
          </w:p>
        </w:tc>
        <w:tc>
          <w:tcPr>
            <w:tcW w:type="dxa" w:w="2160"/>
          </w:tcPr>
          <w:p>
            <w:r>
              <w:t>—</w:t>
            </w:r>
          </w:p>
        </w:tc>
        <w:tc>
          <w:tcPr>
            <w:tcW w:type="dxa" w:w="2160"/>
          </w:tcPr>
          <w:p>
            <w:r>
              <w:t>Renovation of ground floor/basement</w:t>
            </w:r>
          </w:p>
        </w:tc>
        <w:tc>
          <w:tcPr>
            <w:tcW w:type="dxa" w:w="2160"/>
          </w:tcPr>
          <w:p>
            <w:r>
              <w:t>—</w:t>
            </w:r>
          </w:p>
        </w:tc>
      </w:tr>
      <w:tr>
        <w:tc>
          <w:tcPr>
            <w:tcW w:type="dxa" w:w="2160"/>
          </w:tcPr>
          <w:p>
            <w:r>
              <w:t>1962</w:t>
            </w:r>
          </w:p>
        </w:tc>
        <w:tc>
          <w:tcPr>
            <w:tcW w:type="dxa" w:w="2160"/>
          </w:tcPr>
          <w:p>
            <w:r>
              <w:t>—</w:t>
            </w:r>
          </w:p>
        </w:tc>
        <w:tc>
          <w:tcPr>
            <w:tcW w:type="dxa" w:w="2160"/>
          </w:tcPr>
          <w:p>
            <w:r>
              <w:t>Partial façade removal/reconstruction</w:t>
            </w:r>
          </w:p>
        </w:tc>
        <w:tc>
          <w:tcPr>
            <w:tcW w:type="dxa" w:w="2160"/>
          </w:tcPr>
          <w:p>
            <w:r>
              <w:t>—</w:t>
            </w:r>
          </w:p>
        </w:tc>
      </w:tr>
      <w:tr>
        <w:tc>
          <w:tcPr>
            <w:tcW w:type="dxa" w:w="2160"/>
          </w:tcPr>
          <w:p>
            <w:r>
              <w:t>1991</w:t>
            </w:r>
          </w:p>
        </w:tc>
        <w:tc>
          <w:tcPr>
            <w:tcW w:type="dxa" w:w="2160"/>
          </w:tcPr>
          <w:p>
            <w:r>
              <w:t>—</w:t>
            </w:r>
          </w:p>
        </w:tc>
        <w:tc>
          <w:tcPr>
            <w:tcW w:type="dxa" w:w="2160"/>
          </w:tcPr>
          <w:p>
            <w:r>
              <w:t>Seismic retrofitting, new Hill St façade</w:t>
            </w:r>
          </w:p>
        </w:tc>
        <w:tc>
          <w:tcPr>
            <w:tcW w:type="dxa" w:w="2160"/>
          </w:tcPr>
          <w:p>
            <w:r>
              <w:t>—</w:t>
            </w:r>
          </w:p>
        </w:tc>
      </w:tr>
      <w:tr>
        <w:tc>
          <w:tcPr>
            <w:tcW w:type="dxa" w:w="2160"/>
          </w:tcPr>
          <w:p>
            <w:r>
              <w:t>1994</w:t>
            </w:r>
          </w:p>
        </w:tc>
        <w:tc>
          <w:tcPr>
            <w:tcW w:type="dxa" w:w="2160"/>
          </w:tcPr>
          <w:p>
            <w:r>
              <w:t>Upper floors converted to apartments</w:t>
            </w:r>
          </w:p>
        </w:tc>
        <w:tc>
          <w:tcPr>
            <w:tcW w:type="dxa" w:w="2160"/>
          </w:tcPr>
          <w:p>
            <w:r>
              <w:t>Façade/window replacements</w:t>
            </w:r>
          </w:p>
        </w:tc>
        <w:tc>
          <w:tcPr>
            <w:tcW w:type="dxa" w:w="2160"/>
          </w:tcPr>
          <w:p>
            <w:r>
              <w:t>—</w:t>
            </w:r>
          </w:p>
        </w:tc>
      </w:tr>
    </w:tbl>
    <w:p>
      <w:pPr>
        <w:pStyle w:val="Heading1"/>
      </w:pPr>
      <w:r>
        <w:t>2 — Values</w:t>
      </w:r>
    </w:p>
    <w:p>
      <w:pPr>
        <w:pStyle w:val="ListBullet"/>
      </w:pPr>
      <w:r>
        <w:t>Historical Value: Embodies transition of Los Angeles; links to noted architects.</w:t>
      </w:r>
    </w:p>
    <w:p>
      <w:pPr>
        <w:pStyle w:val="ListBullet"/>
      </w:pPr>
      <w:r>
        <w:t>Aesthetic / Architectural Value: Beaux Arts style with brick/terra cotta; monumental presence.</w:t>
      </w:r>
    </w:p>
    <w:p>
      <w:pPr>
        <w:pStyle w:val="ListBullet"/>
      </w:pPr>
      <w:r>
        <w:t>Social Value: Gathering place for elites, immigrants, working-class; revived in 1990s.</w:t>
      </w:r>
    </w:p>
    <w:p>
      <w:pPr>
        <w:pStyle w:val="ListBullet"/>
      </w:pPr>
      <w:r>
        <w:t>Functional Value: Continuous commercial use; resilient through adaptation.</w:t>
      </w:r>
    </w:p>
    <w:p>
      <w:pPr>
        <w:pStyle w:val="ListBullet"/>
      </w:pPr>
      <w:r>
        <w:t>Urban Value: Anchor in Broadway/Hill downtown fabric.</w:t>
      </w:r>
    </w:p>
    <w:p>
      <w:pPr>
        <w:pStyle w:val="ListBullet"/>
      </w:pPr>
      <w:r>
        <w:t>Symbolic Value: Represents Los Angeles diversity and reinvention.</w:t>
      </w:r>
    </w:p>
    <w:p>
      <w:pPr>
        <w:pStyle w:val="Heading2"/>
      </w:pPr>
      <w:r>
        <w:t>Unified Values–Attributes–Meaning–Consequence Table</w:t>
      </w:r>
    </w:p>
    <w:tbl>
      <w:tblPr>
        <w:tblW w:type="auto" w:w="0"/>
        <w:tblLook w:firstColumn="1" w:firstRow="1" w:lastColumn="0" w:lastRow="0" w:noHBand="0" w:noVBand="1" w:val="04A0"/>
      </w:tblPr>
      <w:tblGrid>
        <w:gridCol w:w="2160"/>
        <w:gridCol w:w="2160"/>
        <w:gridCol w:w="2160"/>
        <w:gridCol w:w="2160"/>
      </w:tblGrid>
      <w:tr>
        <w:tc>
          <w:tcPr>
            <w:tcW w:type="dxa" w:w="2160"/>
          </w:tcPr>
          <w:p>
            <w:r>
              <w:t>Attribute</w:t>
            </w:r>
          </w:p>
        </w:tc>
        <w:tc>
          <w:tcPr>
            <w:tcW w:type="dxa" w:w="2160"/>
          </w:tcPr>
          <w:p>
            <w:r>
              <w:t>Associated value(s)</w:t>
            </w:r>
          </w:p>
        </w:tc>
        <w:tc>
          <w:tcPr>
            <w:tcW w:type="dxa" w:w="2160"/>
          </w:tcPr>
          <w:p>
            <w:r>
              <w:t>Site-specific meaning</w:t>
            </w:r>
          </w:p>
        </w:tc>
        <w:tc>
          <w:tcPr>
            <w:tcW w:type="dxa" w:w="2160"/>
          </w:tcPr>
          <w:p>
            <w:r>
              <w:t>Consequence for Significance</w:t>
            </w:r>
          </w:p>
        </w:tc>
      </w:tr>
      <w:tr>
        <w:tc>
          <w:tcPr>
            <w:tcW w:type="dxa" w:w="2160"/>
          </w:tcPr>
          <w:p>
            <w:r>
              <w:t>1898 Homer Laughlin Building</w:t>
            </w:r>
          </w:p>
        </w:tc>
        <w:tc>
          <w:tcPr>
            <w:tcW w:type="dxa" w:w="2160"/>
          </w:tcPr>
          <w:p>
            <w:r>
              <w:t>Historical, Aesthetic</w:t>
            </w:r>
          </w:p>
        </w:tc>
        <w:tc>
          <w:tcPr>
            <w:tcW w:type="dxa" w:w="2160"/>
          </w:tcPr>
          <w:p>
            <w:r>
              <w:t>Beaux Arts landmark block</w:t>
            </w:r>
          </w:p>
        </w:tc>
        <w:tc>
          <w:tcPr>
            <w:tcW w:type="dxa" w:w="2160"/>
          </w:tcPr>
          <w:p>
            <w:r>
              <w:t>Anchors downtown narrative</w:t>
            </w:r>
          </w:p>
        </w:tc>
      </w:tr>
      <w:tr>
        <w:tc>
          <w:tcPr>
            <w:tcW w:type="dxa" w:w="2160"/>
          </w:tcPr>
          <w:p>
            <w:r>
              <w:t>1905 Annex</w:t>
            </w:r>
          </w:p>
        </w:tc>
        <w:tc>
          <w:tcPr>
            <w:tcW w:type="dxa" w:w="2160"/>
          </w:tcPr>
          <w:p>
            <w:r>
              <w:t>Historical, Typological</w:t>
            </w:r>
          </w:p>
        </w:tc>
        <w:tc>
          <w:tcPr>
            <w:tcW w:type="dxa" w:w="2160"/>
          </w:tcPr>
          <w:p>
            <w:r>
              <w:t>Expansion for density</w:t>
            </w:r>
          </w:p>
        </w:tc>
        <w:tc>
          <w:tcPr>
            <w:tcW w:type="dxa" w:w="2160"/>
          </w:tcPr>
          <w:p>
            <w:r>
              <w:t>Shows LA commercial growth</w:t>
            </w:r>
          </w:p>
        </w:tc>
      </w:tr>
      <w:tr>
        <w:tc>
          <w:tcPr>
            <w:tcW w:type="dxa" w:w="2160"/>
          </w:tcPr>
          <w:p>
            <w:r>
              <w:t>1917 Market conversion</w:t>
            </w:r>
          </w:p>
        </w:tc>
        <w:tc>
          <w:tcPr>
            <w:tcW w:type="dxa" w:w="2160"/>
          </w:tcPr>
          <w:p>
            <w:r>
              <w:t>Historical, Social, Functional</w:t>
            </w:r>
          </w:p>
        </w:tc>
        <w:tc>
          <w:tcPr>
            <w:tcW w:type="dxa" w:w="2160"/>
          </w:tcPr>
          <w:p>
            <w:r>
              <w:t>Continuous public market</w:t>
            </w:r>
          </w:p>
        </w:tc>
        <w:tc>
          <w:tcPr>
            <w:tcW w:type="dxa" w:w="2160"/>
          </w:tcPr>
          <w:p>
            <w:r>
              <w:t>Demonstrates enduring livelihood</w:t>
            </w:r>
          </w:p>
        </w:tc>
      </w:tr>
      <w:tr>
        <w:tc>
          <w:tcPr>
            <w:tcW w:type="dxa" w:w="2160"/>
          </w:tcPr>
          <w:p>
            <w:r>
              <w:t>Interior stalls &amp; aisles</w:t>
            </w:r>
          </w:p>
        </w:tc>
        <w:tc>
          <w:tcPr>
            <w:tcW w:type="dxa" w:w="2160"/>
          </w:tcPr>
          <w:p>
            <w:r>
              <w:t>Social, Functional</w:t>
            </w:r>
          </w:p>
        </w:tc>
        <w:tc>
          <w:tcPr>
            <w:tcW w:type="dxa" w:w="2160"/>
          </w:tcPr>
          <w:p>
            <w:r>
              <w:t>Shared gathering space</w:t>
            </w:r>
          </w:p>
        </w:tc>
        <w:tc>
          <w:tcPr>
            <w:tcW w:type="dxa" w:w="2160"/>
          </w:tcPr>
          <w:p>
            <w:r>
              <w:t>Fosters community cohesion</w:t>
            </w:r>
          </w:p>
        </w:tc>
      </w:tr>
      <w:tr>
        <w:tc>
          <w:tcPr>
            <w:tcW w:type="dxa" w:w="2160"/>
          </w:tcPr>
          <w:p>
            <w:r>
              <w:t>1991 Seismic retrofitting</w:t>
            </w:r>
          </w:p>
        </w:tc>
        <w:tc>
          <w:tcPr>
            <w:tcW w:type="dxa" w:w="2160"/>
          </w:tcPr>
          <w:p>
            <w:r>
              <w:t>Functional, Urban</w:t>
            </w:r>
          </w:p>
        </w:tc>
        <w:tc>
          <w:tcPr>
            <w:tcW w:type="dxa" w:w="2160"/>
          </w:tcPr>
          <w:p>
            <w:r>
              <w:t>Resilient structure</w:t>
            </w:r>
          </w:p>
        </w:tc>
        <w:tc>
          <w:tcPr>
            <w:tcW w:type="dxa" w:w="2160"/>
          </w:tcPr>
          <w:p>
            <w:r>
              <w:t>Ensures continuity</w:t>
            </w:r>
          </w:p>
        </w:tc>
      </w:tr>
      <w:tr>
        <w:tc>
          <w:tcPr>
            <w:tcW w:type="dxa" w:w="2160"/>
          </w:tcPr>
          <w:p>
            <w:r>
              <w:t>Tourist destination role</w:t>
            </w:r>
          </w:p>
        </w:tc>
        <w:tc>
          <w:tcPr>
            <w:tcW w:type="dxa" w:w="2160"/>
          </w:tcPr>
          <w:p>
            <w:r>
              <w:t>Symbolic, Social</w:t>
            </w:r>
          </w:p>
        </w:tc>
        <w:tc>
          <w:tcPr>
            <w:tcW w:type="dxa" w:w="2160"/>
          </w:tcPr>
          <w:p>
            <w:r>
              <w:t>Icon of diversity</w:t>
            </w:r>
          </w:p>
        </w:tc>
        <w:tc>
          <w:tcPr>
            <w:tcW w:type="dxa" w:w="2160"/>
          </w:tcPr>
          <w:p>
            <w:r>
              <w:t>Strengthens LA identity</w:t>
            </w:r>
          </w:p>
        </w:tc>
      </w:tr>
    </w:tbl>
    <w:p>
      <w:pPr>
        <w:pStyle w:val="Heading1"/>
      </w:pPr>
      <w:r>
        <w:t>3 — Authenticity &amp; Integrity</w:t>
      </w:r>
    </w:p>
    <w:tbl>
      <w:tblPr>
        <w:tblW w:type="auto" w:w="0"/>
        <w:tblLook w:firstColumn="1" w:firstRow="1" w:lastColumn="0" w:lastRow="0" w:noHBand="0" w:noVBand="1" w:val="04A0"/>
      </w:tblPr>
      <w:tblGrid>
        <w:gridCol w:w="2160"/>
        <w:gridCol w:w="2160"/>
        <w:gridCol w:w="2160"/>
        <w:gridCol w:w="2160"/>
      </w:tblGrid>
      <w:tr>
        <w:tc>
          <w:tcPr>
            <w:tcW w:type="dxa" w:w="2160"/>
          </w:tcPr>
          <w:p>
            <w:r>
              <w:t>Aspect</w:t>
            </w:r>
          </w:p>
        </w:tc>
        <w:tc>
          <w:tcPr>
            <w:tcW w:type="dxa" w:w="2160"/>
          </w:tcPr>
          <w:p>
            <w:r>
              <w:t>Attribute Description</w:t>
            </w:r>
          </w:p>
        </w:tc>
        <w:tc>
          <w:tcPr>
            <w:tcW w:type="dxa" w:w="2160"/>
          </w:tcPr>
          <w:p>
            <w:r>
              <w:t>Value Expression</w:t>
            </w:r>
          </w:p>
        </w:tc>
        <w:tc>
          <w:tcPr>
            <w:tcW w:type="dxa" w:w="2160"/>
          </w:tcPr>
          <w:p>
            <w:r>
              <w:t>Integrity</w:t>
            </w:r>
          </w:p>
        </w:tc>
      </w:tr>
      <w:tr>
        <w:tc>
          <w:tcPr>
            <w:tcW w:type="dxa" w:w="2160"/>
          </w:tcPr>
          <w:p>
            <w:r>
              <w:t>Form &amp; Design</w:t>
            </w:r>
          </w:p>
        </w:tc>
        <w:tc>
          <w:tcPr>
            <w:tcW w:type="dxa" w:w="2160"/>
          </w:tcPr>
          <w:p>
            <w:r>
              <w:t>1898 Beaux Arts façade</w:t>
            </w:r>
          </w:p>
        </w:tc>
        <w:tc>
          <w:tcPr>
            <w:tcW w:type="dxa" w:w="2160"/>
          </w:tcPr>
          <w:p>
            <w:r>
              <w:t>Aesthetic, Historical</w:t>
            </w:r>
          </w:p>
        </w:tc>
        <w:tc>
          <w:tcPr>
            <w:tcW w:type="dxa" w:w="2160"/>
          </w:tcPr>
          <w:p>
            <w:r>
              <w:t>Largely intact; altered 1962</w:t>
            </w:r>
          </w:p>
        </w:tc>
      </w:tr>
      <w:tr>
        <w:tc>
          <w:tcPr>
            <w:tcW w:type="dxa" w:w="2160"/>
          </w:tcPr>
          <w:p>
            <w:r>
              <w:t>Materials &amp; Substance</w:t>
            </w:r>
          </w:p>
        </w:tc>
        <w:tc>
          <w:tcPr>
            <w:tcW w:type="dxa" w:w="2160"/>
          </w:tcPr>
          <w:p>
            <w:r>
              <w:t>Concrete, brick, terra cotta</w:t>
            </w:r>
          </w:p>
        </w:tc>
        <w:tc>
          <w:tcPr>
            <w:tcW w:type="dxa" w:w="2160"/>
          </w:tcPr>
          <w:p>
            <w:r>
              <w:t>Historical, Aesthetic</w:t>
            </w:r>
          </w:p>
        </w:tc>
        <w:tc>
          <w:tcPr>
            <w:tcW w:type="dxa" w:w="2160"/>
          </w:tcPr>
          <w:p>
            <w:r>
              <w:t>Partially replaced; core remains</w:t>
            </w:r>
          </w:p>
        </w:tc>
      </w:tr>
      <w:tr>
        <w:tc>
          <w:tcPr>
            <w:tcW w:type="dxa" w:w="2160"/>
          </w:tcPr>
          <w:p>
            <w:r>
              <w:t>Use &amp; Function</w:t>
            </w:r>
          </w:p>
        </w:tc>
        <w:tc>
          <w:tcPr>
            <w:tcW w:type="dxa" w:w="2160"/>
          </w:tcPr>
          <w:p>
            <w:r>
              <w:t>Continuous food market</w:t>
            </w:r>
          </w:p>
        </w:tc>
        <w:tc>
          <w:tcPr>
            <w:tcW w:type="dxa" w:w="2160"/>
          </w:tcPr>
          <w:p>
            <w:r>
              <w:t>Functional, Social</w:t>
            </w:r>
          </w:p>
        </w:tc>
        <w:tc>
          <w:tcPr>
            <w:tcW w:type="dxa" w:w="2160"/>
          </w:tcPr>
          <w:p>
            <w:r>
              <w:t>Strong continuity</w:t>
            </w:r>
          </w:p>
        </w:tc>
      </w:tr>
      <w:tr>
        <w:tc>
          <w:tcPr>
            <w:tcW w:type="dxa" w:w="2160"/>
          </w:tcPr>
          <w:p>
            <w:r>
              <w:t>Tradition &amp; Techniques</w:t>
            </w:r>
          </w:p>
        </w:tc>
        <w:tc>
          <w:tcPr>
            <w:tcW w:type="dxa" w:w="2160"/>
          </w:tcPr>
          <w:p>
            <w:r>
              <w:t>Parkinson, Fitzhugh, Albright designs</w:t>
            </w:r>
          </w:p>
        </w:tc>
        <w:tc>
          <w:tcPr>
            <w:tcW w:type="dxa" w:w="2160"/>
          </w:tcPr>
          <w:p>
            <w:r>
              <w:t>Historical</w:t>
            </w:r>
          </w:p>
        </w:tc>
        <w:tc>
          <w:tcPr>
            <w:tcW w:type="dxa" w:w="2160"/>
          </w:tcPr>
          <w:p>
            <w:r>
              <w:t>Methods still legible</w:t>
            </w:r>
          </w:p>
        </w:tc>
      </w:tr>
      <w:tr>
        <w:tc>
          <w:tcPr>
            <w:tcW w:type="dxa" w:w="2160"/>
          </w:tcPr>
          <w:p>
            <w:r>
              <w:t>Location &amp; Setting</w:t>
            </w:r>
          </w:p>
        </w:tc>
        <w:tc>
          <w:tcPr>
            <w:tcW w:type="dxa" w:w="2160"/>
          </w:tcPr>
          <w:p>
            <w:r>
              <w:t>Broadway–Hill block</w:t>
            </w:r>
          </w:p>
        </w:tc>
        <w:tc>
          <w:tcPr>
            <w:tcW w:type="dxa" w:w="2160"/>
          </w:tcPr>
          <w:p>
            <w:r>
              <w:t>Urban, Social</w:t>
            </w:r>
          </w:p>
        </w:tc>
        <w:tc>
          <w:tcPr>
            <w:tcW w:type="dxa" w:w="2160"/>
          </w:tcPr>
          <w:p>
            <w:r>
              <w:t>Still central downtown anchor</w:t>
            </w:r>
          </w:p>
        </w:tc>
      </w:tr>
      <w:tr>
        <w:tc>
          <w:tcPr>
            <w:tcW w:type="dxa" w:w="2160"/>
          </w:tcPr>
          <w:p>
            <w:r>
              <w:t>Spirit &amp; Feeling</w:t>
            </w:r>
          </w:p>
        </w:tc>
        <w:tc>
          <w:tcPr>
            <w:tcW w:type="dxa" w:w="2160"/>
          </w:tcPr>
          <w:p>
            <w:r>
              <w:t>Bustling atmosphere</w:t>
            </w:r>
          </w:p>
        </w:tc>
        <w:tc>
          <w:tcPr>
            <w:tcW w:type="dxa" w:w="2160"/>
          </w:tcPr>
          <w:p>
            <w:r>
              <w:t>Social, Symbolic</w:t>
            </w:r>
          </w:p>
        </w:tc>
        <w:tc>
          <w:tcPr>
            <w:tcW w:type="dxa" w:w="2160"/>
          </w:tcPr>
          <w:p>
            <w:r>
              <w:t>Intact, vibrant use</w:t>
            </w:r>
          </w:p>
        </w:tc>
      </w:tr>
      <w:tr>
        <w:tc>
          <w:tcPr>
            <w:tcW w:type="dxa" w:w="2160"/>
          </w:tcPr>
          <w:p>
            <w:r>
              <w:t>Other (Condition)</w:t>
            </w:r>
          </w:p>
        </w:tc>
        <w:tc>
          <w:tcPr>
            <w:tcW w:type="dxa" w:w="2160"/>
          </w:tcPr>
          <w:p>
            <w:r>
              <w:t>Seismic retrofit, glazing</w:t>
            </w:r>
          </w:p>
        </w:tc>
        <w:tc>
          <w:tcPr>
            <w:tcW w:type="dxa" w:w="2160"/>
          </w:tcPr>
          <w:p>
            <w:r>
              <w:t>Functional</w:t>
            </w:r>
          </w:p>
        </w:tc>
        <w:tc>
          <w:tcPr>
            <w:tcW w:type="dxa" w:w="2160"/>
          </w:tcPr>
          <w:p>
            <w:r>
              <w:t>Resilient but reduced detail</w:t>
            </w:r>
          </w:p>
        </w:tc>
      </w:tr>
    </w:tbl>
    <w:p>
      <w:pPr>
        <w:pStyle w:val="Heading1"/>
      </w:pPr>
      <w:r>
        <w:t>4 — Comparative Evaluation</w:t>
      </w:r>
    </w:p>
    <w:p>
      <w:r>
        <w:t>Comparanda:</w:t>
        <w:br/>
        <w:t>• Pike Place Market (Seattle, 1907) – shares public market tradition; more intact fabric, less monumental architecture.</w:t>
        <w:br/>
        <w:t>• Ferry Building (San Francisco, 1898) – grand civic role; repurposed later, less continuity of market use.</w:t>
        <w:br/>
        <w:t>• Eastern Market (Washington, D.C., 1873) – civic heritage; Grand Central more resilient amid urban change.</w:t>
        <w:br/>
        <w:br/>
        <w:t>Distinctiveness: Grand Central Market combines monumental Beaux Arts architecture with uninterrupted market use, rare for West Coast urban centers.</w:t>
      </w:r>
    </w:p>
    <w:p>
      <w:pPr>
        <w:pStyle w:val="Heading1"/>
      </w:pPr>
      <w:r>
        <w:t>5 — Cultural Significance Statement</w:t>
      </w:r>
    </w:p>
    <w:p>
      <w:r>
        <w:t>Grand Central Market embodies Los Angeles’ transformation from a 19th-century commercial hub into a diverse metropolis. Its Beaux Arts fabric by Parkinson, Fitzhugh, and Albright anchors downtown heritage. Since 1917 it has continuously functioned as a public market, sustaining social and functional values across shifting demographics. Despite alterations, its authenticity lies in continuity of use and spirit. Comparatively, it is distinctive among U.S. markets for blending architectural ambition with living market vitality, symbolizing Los Angeles’ evolving identity.</w:t>
      </w:r>
    </w:p>
    <w:p>
      <w:pPr>
        <w:pStyle w:val="Heading1"/>
      </w:pPr>
      <w:r>
        <w:t>6 — Pulse Check</w:t>
      </w:r>
    </w:p>
    <w:p>
      <w:r>
        <w:t>Strengths:</w:t>
        <w:br/>
        <w:t>• Layered values (architectural, social, symbolic)</w:t>
        <w:br/>
        <w:t>• Strong timeline anchors</w:t>
        <w:br/>
        <w:t>• Clear comparative distinctiveness</w:t>
      </w:r>
    </w:p>
    <w:p>
      <w:pPr>
        <w:pStyle w:val="Heading2"/>
      </w:pPr>
      <w:r>
        <w:t>Quick Boost</w:t>
      </w:r>
    </w:p>
    <w:tbl>
      <w:tblPr>
        <w:tblW w:type="auto" w:w="0"/>
        <w:tblLook w:firstColumn="1" w:firstRow="1" w:lastColumn="0" w:lastRow="0" w:noHBand="0" w:noVBand="1" w:val="04A0"/>
      </w:tblPr>
      <w:tblGrid>
        <w:gridCol w:w="4320"/>
        <w:gridCol w:w="4320"/>
      </w:tblGrid>
      <w:tr>
        <w:tc>
          <w:tcPr>
            <w:tcW w:type="dxa" w:w="4320"/>
          </w:tcPr>
          <w:p>
            <w:r>
              <w:t>Topic</w:t>
            </w:r>
          </w:p>
        </w:tc>
        <w:tc>
          <w:tcPr>
            <w:tcW w:type="dxa" w:w="4320"/>
          </w:tcPr>
          <w:p>
            <w:r>
              <w:t>Small tweak</w:t>
            </w:r>
          </w:p>
        </w:tc>
      </w:tr>
      <w:tr>
        <w:tc>
          <w:tcPr>
            <w:tcW w:type="dxa" w:w="4320"/>
          </w:tcPr>
          <w:p>
            <w:r>
              <w:t>Post-1994 phases</w:t>
            </w:r>
          </w:p>
        </w:tc>
        <w:tc>
          <w:tcPr>
            <w:tcW w:type="dxa" w:w="4320"/>
          </w:tcPr>
          <w:p>
            <w:r>
              <w:t>Add documentation on later renovations, tenant mix</w:t>
            </w:r>
          </w:p>
        </w:tc>
      </w:tr>
      <w:tr>
        <w:tc>
          <w:tcPr>
            <w:tcW w:type="dxa" w:w="4320"/>
          </w:tcPr>
          <w:p>
            <w:r>
              <w:t>Community voice</w:t>
            </w:r>
          </w:p>
        </w:tc>
        <w:tc>
          <w:tcPr>
            <w:tcW w:type="dxa" w:w="4320"/>
          </w:tcPr>
          <w:p>
            <w:r>
              <w:t>Include oral histories, user perspectives</w:t>
            </w:r>
          </w:p>
        </w:tc>
      </w:tr>
      <w:tr>
        <w:tc>
          <w:tcPr>
            <w:tcW w:type="dxa" w:w="4320"/>
          </w:tcPr>
          <w:p>
            <w:r>
              <w:t>Material authenticity</w:t>
            </w:r>
          </w:p>
        </w:tc>
        <w:tc>
          <w:tcPr>
            <w:tcW w:type="dxa" w:w="4320"/>
          </w:tcPr>
          <w:p>
            <w:r>
              <w:t>Document interior features (stalls, signage, lightwells)</w:t>
            </w:r>
          </w:p>
        </w:tc>
      </w:tr>
    </w:tbl>
    <w:p>
      <w:pPr>
        <w:pStyle w:val="Heading2"/>
      </w:pPr>
      <w:r>
        <w:t>Next Steps</w:t>
      </w:r>
    </w:p>
    <w:p>
      <w:r>
        <w:t>• Collect recent documentation (2010s–2020s)</w:t>
        <w:br/>
        <w:t>• Engage community through oral history or media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