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57981" w14:textId="77777777" w:rsidR="00962D91" w:rsidRPr="00962D91" w:rsidRDefault="00962D91" w:rsidP="00962D91">
      <w:pPr>
        <w:jc w:val="center"/>
        <w:rPr>
          <w:b/>
          <w:bCs/>
        </w:rPr>
      </w:pPr>
      <w:proofErr w:type="spellStart"/>
      <w:r w:rsidRPr="00962D91">
        <w:rPr>
          <w:b/>
          <w:bCs/>
        </w:rPr>
        <w:t>Zaalima</w:t>
      </w:r>
      <w:proofErr w:type="spellEnd"/>
      <w:r w:rsidRPr="00962D91">
        <w:rPr>
          <w:b/>
          <w:bCs/>
        </w:rPr>
        <w:t xml:space="preserve"> Sales Data Insight Report</w:t>
      </w:r>
    </w:p>
    <w:p w14:paraId="35533A08" w14:textId="77777777" w:rsidR="00962D91" w:rsidRPr="00962D91" w:rsidRDefault="00962D91" w:rsidP="00962D91">
      <w:pPr>
        <w:rPr>
          <w:b/>
          <w:bCs/>
        </w:rPr>
      </w:pPr>
      <w:r w:rsidRPr="00962D91">
        <w:rPr>
          <w:b/>
          <w:bCs/>
        </w:rPr>
        <w:t>1. Executive Summary</w:t>
      </w:r>
    </w:p>
    <w:p w14:paraId="54E61B86" w14:textId="77777777" w:rsidR="00962D91" w:rsidRPr="00962D91" w:rsidRDefault="00962D91" w:rsidP="00962D91">
      <w:proofErr w:type="spellStart"/>
      <w:r w:rsidRPr="00962D91">
        <w:t>Zaalima’s</w:t>
      </w:r>
      <w:proofErr w:type="spellEnd"/>
      <w:r w:rsidRPr="00962D91">
        <w:t xml:space="preserve"> total sales reached </w:t>
      </w:r>
      <w:r w:rsidRPr="00962D91">
        <w:rPr>
          <w:b/>
          <w:bCs/>
        </w:rPr>
        <w:t>$12.64 million</w:t>
      </w:r>
      <w:r w:rsidRPr="00962D91">
        <w:t> with an overall profit of </w:t>
      </w:r>
      <w:r w:rsidRPr="00962D91">
        <w:rPr>
          <w:b/>
          <w:bCs/>
        </w:rPr>
        <w:t>$1.47 million</w:t>
      </w:r>
      <w:r w:rsidRPr="00962D91">
        <w:t>, showing steady performance across global markets. The </w:t>
      </w:r>
      <w:r w:rsidRPr="00962D91">
        <w:rPr>
          <w:b/>
          <w:bCs/>
        </w:rPr>
        <w:t>Technology</w:t>
      </w:r>
      <w:r w:rsidRPr="00962D91">
        <w:t> category led growth, while </w:t>
      </w:r>
      <w:r w:rsidRPr="00962D91">
        <w:rPr>
          <w:b/>
          <w:bCs/>
        </w:rPr>
        <w:t>Office Supplies</w:t>
      </w:r>
      <w:r w:rsidRPr="00962D91">
        <w:t> delivered the highest sales volume. However, there are noticeable regional disparities — profits were concentrated in </w:t>
      </w:r>
      <w:r w:rsidRPr="00962D91">
        <w:rPr>
          <w:b/>
          <w:bCs/>
        </w:rPr>
        <w:t>Europe and North America</w:t>
      </w:r>
      <w:r w:rsidRPr="00962D91">
        <w:t>, while </w:t>
      </w:r>
      <w:r w:rsidRPr="00962D91">
        <w:rPr>
          <w:b/>
          <w:bCs/>
        </w:rPr>
        <w:t>Africa and Latin America</w:t>
      </w:r>
      <w:r w:rsidRPr="00962D91">
        <w:t> underperformed against targets.</w:t>
      </w:r>
    </w:p>
    <w:p w14:paraId="1ABABC9F" w14:textId="77777777" w:rsidR="00962D91" w:rsidRPr="00962D91" w:rsidRDefault="00962D91" w:rsidP="00962D91">
      <w:r w:rsidRPr="00962D91">
        <w:pict w14:anchorId="5F8C3295">
          <v:rect id="_x0000_i1109" style="width:0;height:.75pt" o:hralign="center" o:hrstd="t" o:hr="t" fillcolor="#a0a0a0" stroked="f"/>
        </w:pict>
      </w:r>
    </w:p>
    <w:p w14:paraId="08E2EA8B" w14:textId="77777777" w:rsidR="00962D91" w:rsidRPr="00962D91" w:rsidRDefault="00962D91" w:rsidP="00962D91">
      <w:pPr>
        <w:rPr>
          <w:b/>
          <w:bCs/>
        </w:rPr>
      </w:pPr>
      <w:r w:rsidRPr="00962D91">
        <w:rPr>
          <w:b/>
          <w:bCs/>
        </w:rPr>
        <w:t>2. Objective / Business Question</w:t>
      </w:r>
    </w:p>
    <w:p w14:paraId="044C949E" w14:textId="77777777" w:rsidR="00962D91" w:rsidRPr="00962D91" w:rsidRDefault="00962D91" w:rsidP="00962D91">
      <w:r w:rsidRPr="00962D91">
        <w:t>The analysis aims to identify key performance drivers and regional differences across product categories and segments, supporting decisions to enhance profitability and geographical sales balance.</w:t>
      </w:r>
    </w:p>
    <w:p w14:paraId="08EE14C5" w14:textId="77777777" w:rsidR="00962D91" w:rsidRPr="00962D91" w:rsidRDefault="00962D91" w:rsidP="00962D91">
      <w:r w:rsidRPr="00962D91">
        <w:pict w14:anchorId="207D64DC">
          <v:rect id="_x0000_i1110" style="width:0;height:.75pt" o:hralign="center" o:hrstd="t" o:hr="t" fillcolor="#a0a0a0" stroked="f"/>
        </w:pict>
      </w:r>
    </w:p>
    <w:p w14:paraId="309F72DA" w14:textId="77777777" w:rsidR="00962D91" w:rsidRPr="00962D91" w:rsidRDefault="00962D91" w:rsidP="00962D91">
      <w:pPr>
        <w:rPr>
          <w:b/>
          <w:bCs/>
        </w:rPr>
      </w:pPr>
      <w:r w:rsidRPr="00962D91">
        <w:rPr>
          <w:b/>
          <w:bCs/>
        </w:rPr>
        <w:t>3. Key Metrics / KPIs</w:t>
      </w:r>
    </w:p>
    <w:p w14:paraId="7005F241" w14:textId="77777777" w:rsidR="00962D91" w:rsidRPr="00962D91" w:rsidRDefault="00962D91" w:rsidP="00962D91">
      <w:pPr>
        <w:numPr>
          <w:ilvl w:val="0"/>
          <w:numId w:val="6"/>
        </w:numPr>
      </w:pPr>
      <w:r w:rsidRPr="00962D91">
        <w:t>Total Sales: </w:t>
      </w:r>
      <w:r w:rsidRPr="00962D91">
        <w:rPr>
          <w:b/>
          <w:bCs/>
        </w:rPr>
        <w:t>$12.64M</w:t>
      </w:r>
    </w:p>
    <w:p w14:paraId="2F2B9862" w14:textId="77777777" w:rsidR="00962D91" w:rsidRPr="00962D91" w:rsidRDefault="00962D91" w:rsidP="00962D91">
      <w:pPr>
        <w:numPr>
          <w:ilvl w:val="0"/>
          <w:numId w:val="6"/>
        </w:numPr>
      </w:pPr>
      <w:r w:rsidRPr="00962D91">
        <w:t>Total Profit: </w:t>
      </w:r>
      <w:r w:rsidRPr="00962D91">
        <w:rPr>
          <w:b/>
          <w:bCs/>
        </w:rPr>
        <w:t>$1.47M</w:t>
      </w:r>
    </w:p>
    <w:p w14:paraId="3681A951" w14:textId="77777777" w:rsidR="00962D91" w:rsidRPr="00962D91" w:rsidRDefault="00962D91" w:rsidP="00962D91">
      <w:pPr>
        <w:numPr>
          <w:ilvl w:val="0"/>
          <w:numId w:val="6"/>
        </w:numPr>
      </w:pPr>
      <w:r w:rsidRPr="00962D91">
        <w:t>Profit Margin: </w:t>
      </w:r>
      <w:r w:rsidRPr="00962D91">
        <w:rPr>
          <w:b/>
          <w:bCs/>
        </w:rPr>
        <w:t>11.6%</w:t>
      </w:r>
    </w:p>
    <w:p w14:paraId="2749475E" w14:textId="77777777" w:rsidR="00962D91" w:rsidRPr="00962D91" w:rsidRDefault="00962D91" w:rsidP="00962D91">
      <w:pPr>
        <w:numPr>
          <w:ilvl w:val="0"/>
          <w:numId w:val="6"/>
        </w:numPr>
      </w:pPr>
      <w:r w:rsidRPr="00962D91">
        <w:t>Quantity Sold: </w:t>
      </w:r>
      <w:r w:rsidRPr="00962D91">
        <w:rPr>
          <w:b/>
          <w:bCs/>
        </w:rPr>
        <w:t>178K units</w:t>
      </w:r>
    </w:p>
    <w:p w14:paraId="4143AACE" w14:textId="77777777" w:rsidR="00962D91" w:rsidRPr="00962D91" w:rsidRDefault="00962D91" w:rsidP="00962D91">
      <w:pPr>
        <w:numPr>
          <w:ilvl w:val="0"/>
          <w:numId w:val="6"/>
        </w:numPr>
      </w:pPr>
      <w:r w:rsidRPr="00962D91">
        <w:t>Sales vs Target Achievement: </w:t>
      </w:r>
      <w:r w:rsidRPr="00962D91">
        <w:rPr>
          <w:b/>
          <w:bCs/>
        </w:rPr>
        <w:t>145% overall</w:t>
      </w:r>
    </w:p>
    <w:p w14:paraId="5BFC6984" w14:textId="77777777" w:rsidR="00962D91" w:rsidRPr="00962D91" w:rsidRDefault="00962D91" w:rsidP="00962D91">
      <w:pPr>
        <w:numPr>
          <w:ilvl w:val="0"/>
          <w:numId w:val="6"/>
        </w:numPr>
      </w:pPr>
      <w:r w:rsidRPr="00962D91">
        <w:t>Regional Sales: </w:t>
      </w:r>
      <w:r w:rsidRPr="00962D91">
        <w:rPr>
          <w:b/>
          <w:bCs/>
        </w:rPr>
        <w:t>Europe (4.74M), Americas (3.1M), Asia-Pacific (2.9M), Africa (725K)</w:t>
      </w:r>
    </w:p>
    <w:p w14:paraId="7D68CE22" w14:textId="77777777" w:rsidR="00962D91" w:rsidRPr="00962D91" w:rsidRDefault="00962D91" w:rsidP="00962D91">
      <w:r w:rsidRPr="00962D91">
        <w:pict w14:anchorId="05930087">
          <v:rect id="_x0000_i1111" style="width:0;height:.75pt" o:hralign="center" o:hrstd="t" o:hr="t" fillcolor="#a0a0a0" stroked="f"/>
        </w:pict>
      </w:r>
    </w:p>
    <w:p w14:paraId="38B8DEBF" w14:textId="77777777" w:rsidR="00962D91" w:rsidRPr="00962D91" w:rsidRDefault="00962D91" w:rsidP="00962D91">
      <w:pPr>
        <w:rPr>
          <w:b/>
          <w:bCs/>
        </w:rPr>
      </w:pPr>
      <w:r w:rsidRPr="00962D91">
        <w:rPr>
          <w:b/>
          <w:bCs/>
        </w:rPr>
        <w:t>4. Insights &amp; Findings</w:t>
      </w:r>
    </w:p>
    <w:p w14:paraId="27460A8C" w14:textId="77777777" w:rsidR="00962D91" w:rsidRPr="00962D91" w:rsidRDefault="00962D91" w:rsidP="00962D91">
      <w:pPr>
        <w:numPr>
          <w:ilvl w:val="0"/>
          <w:numId w:val="7"/>
        </w:numPr>
      </w:pPr>
      <w:r w:rsidRPr="00962D91">
        <w:rPr>
          <w:b/>
          <w:bCs/>
        </w:rPr>
        <w:t>Technology drives profitability:</w:t>
      </w:r>
      <w:r w:rsidRPr="00962D91">
        <w:br/>
        <w:t>The Technology category contributed </w:t>
      </w:r>
      <w:r w:rsidRPr="00962D91">
        <w:rPr>
          <w:b/>
          <w:bCs/>
        </w:rPr>
        <w:t>over 40% of total profits</w:t>
      </w:r>
      <w:r w:rsidRPr="00962D91">
        <w:t>, led by high-margin products such as Copiers and Phones.</w:t>
      </w:r>
      <w:r w:rsidRPr="00962D91">
        <w:br/>
      </w:r>
      <w:r w:rsidRPr="00962D91">
        <w:rPr>
          <w:i/>
          <w:iCs/>
        </w:rPr>
        <w:t>Why it matters:</w:t>
      </w:r>
      <w:r w:rsidRPr="00962D91">
        <w:t> It validates continued investment in digital and high-end tech SKUs.</w:t>
      </w:r>
      <w:r w:rsidRPr="00962D91">
        <w:br/>
      </w:r>
      <w:r w:rsidRPr="00962D91">
        <w:rPr>
          <w:i/>
          <w:iCs/>
        </w:rPr>
        <w:t>Recommendation:</w:t>
      </w:r>
      <w:r w:rsidRPr="00962D91">
        <w:t> Expand R&amp;D and marketing efforts in the Technology segment.</w:t>
      </w:r>
    </w:p>
    <w:p w14:paraId="450F6970" w14:textId="77777777" w:rsidR="00962D91" w:rsidRPr="00962D91" w:rsidRDefault="00962D91" w:rsidP="00962D91">
      <w:pPr>
        <w:numPr>
          <w:ilvl w:val="0"/>
          <w:numId w:val="7"/>
        </w:numPr>
      </w:pPr>
      <w:r w:rsidRPr="00962D91">
        <w:rPr>
          <w:b/>
          <w:bCs/>
        </w:rPr>
        <w:t>Regional sales imbalance:</w:t>
      </w:r>
      <w:r w:rsidRPr="00962D91">
        <w:br/>
        <w:t>Europe achieved </w:t>
      </w:r>
      <w:r w:rsidRPr="00962D91">
        <w:rPr>
          <w:b/>
          <w:bCs/>
        </w:rPr>
        <w:t>over 150% of its target</w:t>
      </w:r>
      <w:r w:rsidRPr="00962D91">
        <w:t>, while Africa and Latin America remained below </w:t>
      </w:r>
      <w:r w:rsidRPr="00962D91">
        <w:rPr>
          <w:b/>
          <w:bCs/>
        </w:rPr>
        <w:t>60%</w:t>
      </w:r>
      <w:r w:rsidRPr="00962D91">
        <w:t>.</w:t>
      </w:r>
      <w:r w:rsidRPr="00962D91">
        <w:br/>
      </w:r>
      <w:r w:rsidRPr="00962D91">
        <w:rPr>
          <w:i/>
          <w:iCs/>
        </w:rPr>
        <w:t>Why it matters:</w:t>
      </w:r>
      <w:r w:rsidRPr="00962D91">
        <w:t> Indicates regional performance gaps limiting global growth consolidation.</w:t>
      </w:r>
      <w:r w:rsidRPr="00962D91">
        <w:br/>
      </w:r>
      <w:r w:rsidRPr="00962D91">
        <w:rPr>
          <w:i/>
          <w:iCs/>
        </w:rPr>
        <w:t>Recommendation:</w:t>
      </w:r>
      <w:r w:rsidRPr="00962D91">
        <w:t> Introduce location-specific pricing and logistics optimization for slower markets.</w:t>
      </w:r>
    </w:p>
    <w:p w14:paraId="7B4CB996" w14:textId="77777777" w:rsidR="00962D91" w:rsidRPr="00962D91" w:rsidRDefault="00962D91" w:rsidP="00962D91">
      <w:pPr>
        <w:numPr>
          <w:ilvl w:val="0"/>
          <w:numId w:val="7"/>
        </w:numPr>
      </w:pPr>
      <w:r w:rsidRPr="00962D91">
        <w:rPr>
          <w:b/>
          <w:bCs/>
        </w:rPr>
        <w:t>Consumer segment dominance:</w:t>
      </w:r>
      <w:r w:rsidRPr="00962D91">
        <w:br/>
        <w:t>The Consumer segment generated the majority of sales (</w:t>
      </w:r>
      <w:r w:rsidRPr="00962D91">
        <w:rPr>
          <w:b/>
          <w:bCs/>
        </w:rPr>
        <w:t>≈70%</w:t>
      </w:r>
      <w:r w:rsidRPr="00962D91">
        <w:t>), while Corporate and Home Office lagged behind.</w:t>
      </w:r>
      <w:r w:rsidRPr="00962D91">
        <w:br/>
      </w:r>
      <w:r w:rsidRPr="00962D91">
        <w:rPr>
          <w:i/>
          <w:iCs/>
        </w:rPr>
        <w:t>Why it matters:</w:t>
      </w:r>
      <w:r w:rsidRPr="00962D91">
        <w:t> Heavy reliance on B2C may increase volatility.</w:t>
      </w:r>
      <w:r w:rsidRPr="00962D91">
        <w:br/>
      </w:r>
      <w:r w:rsidRPr="00962D91">
        <w:rPr>
          <w:i/>
          <w:iCs/>
        </w:rPr>
        <w:t>Recommendation:</w:t>
      </w:r>
      <w:r w:rsidRPr="00962D91">
        <w:t> Diversify into B2B through managed corporate contracts.</w:t>
      </w:r>
    </w:p>
    <w:p w14:paraId="4978AFC5" w14:textId="77777777" w:rsidR="00962D91" w:rsidRPr="00962D91" w:rsidRDefault="00962D91" w:rsidP="00962D91">
      <w:pPr>
        <w:numPr>
          <w:ilvl w:val="0"/>
          <w:numId w:val="7"/>
        </w:numPr>
      </w:pPr>
      <w:r w:rsidRPr="00962D91">
        <w:rPr>
          <w:b/>
          <w:bCs/>
        </w:rPr>
        <w:lastRenderedPageBreak/>
        <w:t>Product-specific growth levers:</w:t>
      </w:r>
      <w:r w:rsidRPr="00962D91">
        <w:br/>
        <w:t>Sub-categories such as </w:t>
      </w:r>
      <w:r w:rsidRPr="00962D91">
        <w:rPr>
          <w:b/>
          <w:bCs/>
        </w:rPr>
        <w:t>Tables, Copiers, and Appliances</w:t>
      </w:r>
      <w:r w:rsidRPr="00962D91">
        <w:t> show higher adjusted sales correlation.</w:t>
      </w:r>
      <w:r w:rsidRPr="00962D91">
        <w:br/>
      </w:r>
      <w:r w:rsidRPr="00962D91">
        <w:rPr>
          <w:i/>
          <w:iCs/>
        </w:rPr>
        <w:t>Why it matters:</w:t>
      </w:r>
      <w:r w:rsidRPr="00962D91">
        <w:t> These can act as priority categories for cross-selling.</w:t>
      </w:r>
      <w:r w:rsidRPr="00962D91">
        <w:br/>
      </w:r>
      <w:r w:rsidRPr="00962D91">
        <w:rPr>
          <w:i/>
          <w:iCs/>
        </w:rPr>
        <w:t>Recommendation:</w:t>
      </w:r>
      <w:r w:rsidRPr="00962D91">
        <w:t> Bundle complementary items (e.g., Chairs + Tables) in digital promotions.</w:t>
      </w:r>
    </w:p>
    <w:p w14:paraId="35FBF135" w14:textId="77777777" w:rsidR="00962D91" w:rsidRPr="00962D91" w:rsidRDefault="00962D91" w:rsidP="00962D91">
      <w:pPr>
        <w:numPr>
          <w:ilvl w:val="0"/>
          <w:numId w:val="7"/>
        </w:numPr>
      </w:pPr>
      <w:r w:rsidRPr="00962D91">
        <w:rPr>
          <w:b/>
          <w:bCs/>
        </w:rPr>
        <w:t>Profit variability across regions:</w:t>
      </w:r>
      <w:r w:rsidRPr="00962D91">
        <w:br/>
        <w:t>While Europe and North America maintained stability, emerging markets showed inconsistent margins.</w:t>
      </w:r>
      <w:r w:rsidRPr="00962D91">
        <w:br/>
      </w:r>
      <w:r w:rsidRPr="00962D91">
        <w:rPr>
          <w:i/>
          <w:iCs/>
        </w:rPr>
        <w:t>Why it matters:</w:t>
      </w:r>
      <w:r w:rsidRPr="00962D91">
        <w:t> Exchange rate and discount variations lower margins.</w:t>
      </w:r>
      <w:r w:rsidRPr="00962D91">
        <w:br/>
      </w:r>
      <w:r w:rsidRPr="00962D91">
        <w:rPr>
          <w:i/>
          <w:iCs/>
        </w:rPr>
        <w:t>Recommendation:</w:t>
      </w:r>
      <w:r w:rsidRPr="00962D91">
        <w:t> Refine discounting policies and adjust cost structures regionally.</w:t>
      </w:r>
    </w:p>
    <w:p w14:paraId="1D615386" w14:textId="77777777" w:rsidR="00962D91" w:rsidRPr="00962D91" w:rsidRDefault="00962D91" w:rsidP="00962D91">
      <w:r w:rsidRPr="00962D91">
        <w:pict w14:anchorId="7387DBC9">
          <v:rect id="_x0000_i1112" style="width:0;height:.75pt" o:hralign="center" o:hrstd="t" o:hr="t" fillcolor="#a0a0a0" stroked="f"/>
        </w:pict>
      </w:r>
    </w:p>
    <w:p w14:paraId="39CE0A48" w14:textId="77777777" w:rsidR="00962D91" w:rsidRPr="00962D91" w:rsidRDefault="00962D91" w:rsidP="00962D91">
      <w:pPr>
        <w:rPr>
          <w:b/>
          <w:bCs/>
        </w:rPr>
      </w:pPr>
      <w:r w:rsidRPr="00962D91">
        <w:rPr>
          <w:b/>
          <w:bCs/>
        </w:rPr>
        <w:t>5. Supporting Visuals</w:t>
      </w:r>
    </w:p>
    <w:p w14:paraId="306D3463" w14:textId="77777777" w:rsidR="00962D91" w:rsidRPr="00962D91" w:rsidRDefault="00962D91" w:rsidP="00962D91">
      <w:pPr>
        <w:numPr>
          <w:ilvl w:val="0"/>
          <w:numId w:val="8"/>
        </w:numPr>
      </w:pPr>
      <w:r w:rsidRPr="00962D91">
        <w:t>Chart 1: Sales vs Target by Region</w:t>
      </w:r>
    </w:p>
    <w:p w14:paraId="687F97B3" w14:textId="77777777" w:rsidR="00962D91" w:rsidRPr="00962D91" w:rsidRDefault="00962D91" w:rsidP="00962D91">
      <w:pPr>
        <w:numPr>
          <w:ilvl w:val="0"/>
          <w:numId w:val="8"/>
        </w:numPr>
      </w:pPr>
      <w:r w:rsidRPr="00962D91">
        <w:t>Chart 2: Profit by Category (Technology, Furniture, Office Supplies)</w:t>
      </w:r>
    </w:p>
    <w:p w14:paraId="01EB90C9" w14:textId="77777777" w:rsidR="00962D91" w:rsidRPr="00962D91" w:rsidRDefault="00962D91" w:rsidP="00962D91">
      <w:pPr>
        <w:numPr>
          <w:ilvl w:val="0"/>
          <w:numId w:val="8"/>
        </w:numPr>
      </w:pPr>
      <w:r w:rsidRPr="00962D91">
        <w:t>Table 1: Segment-wise Sales and Profit Contribution</w:t>
      </w:r>
    </w:p>
    <w:p w14:paraId="45DA6FE9" w14:textId="68041EAD" w:rsidR="00962D91" w:rsidRPr="00962D91" w:rsidRDefault="00962D91" w:rsidP="00962D91">
      <w:pPr>
        <w:rPr>
          <w:i/>
          <w:iCs/>
        </w:rPr>
      </w:pPr>
      <w:r w:rsidRPr="00962D91">
        <w:rPr>
          <w:i/>
          <w:iCs/>
        </w:rPr>
        <w:t xml:space="preserve">(Visuals will be formatted in Word with </w:t>
      </w:r>
      <w:proofErr w:type="spellStart"/>
      <w:r w:rsidRPr="00962D91">
        <w:rPr>
          <w:i/>
          <w:iCs/>
        </w:rPr>
        <w:t>labeled</w:t>
      </w:r>
      <w:proofErr w:type="spellEnd"/>
      <w:r w:rsidRPr="00962D91">
        <w:rPr>
          <w:i/>
          <w:iCs/>
        </w:rPr>
        <w:t xml:space="preserve"> graphics from Power BI exports.)</w:t>
      </w:r>
    </w:p>
    <w:p w14:paraId="4E5FB211" w14:textId="69FADA6C" w:rsidR="00962D91" w:rsidRPr="00962D91" w:rsidRDefault="00962D91" w:rsidP="00962D91">
      <w:r w:rsidRPr="00962D91">
        <w:pict w14:anchorId="3E079652">
          <v:rect id="_x0000_i1113" style="width:0;height:.75pt" o:hralign="center" o:hrstd="t" o:hr="t" fillcolor="#a0a0a0" stroked="f"/>
        </w:pict>
      </w:r>
      <w:r w:rsidRPr="00962D91">
        <w:rPr>
          <w:b/>
          <w:bCs/>
        </w:rPr>
        <w:t>6. Limitations</w:t>
      </w:r>
    </w:p>
    <w:p w14:paraId="483F2226" w14:textId="77777777" w:rsidR="00962D91" w:rsidRPr="00962D91" w:rsidRDefault="00962D91" w:rsidP="00962D91">
      <w:pPr>
        <w:numPr>
          <w:ilvl w:val="0"/>
          <w:numId w:val="9"/>
        </w:numPr>
      </w:pPr>
      <w:r w:rsidRPr="00962D91">
        <w:t xml:space="preserve">Limited visibility into quarterly customer churn or repeat purchase </w:t>
      </w:r>
      <w:proofErr w:type="spellStart"/>
      <w:r w:rsidRPr="00962D91">
        <w:t>behavior</w:t>
      </w:r>
      <w:proofErr w:type="spellEnd"/>
      <w:r w:rsidRPr="00962D91">
        <w:t>.</w:t>
      </w:r>
    </w:p>
    <w:p w14:paraId="390DDBD4" w14:textId="77777777" w:rsidR="00962D91" w:rsidRPr="00962D91" w:rsidRDefault="00962D91" w:rsidP="00962D91">
      <w:pPr>
        <w:numPr>
          <w:ilvl w:val="0"/>
          <w:numId w:val="9"/>
        </w:numPr>
      </w:pPr>
      <w:r w:rsidRPr="00962D91">
        <w:t>Currency normalization assumptions across multi-region sales may slightly skew profitability ratios.</w:t>
      </w:r>
    </w:p>
    <w:p w14:paraId="0290DB7E" w14:textId="579A4E2E" w:rsidR="00962D91" w:rsidRPr="00962D91" w:rsidRDefault="00962D91" w:rsidP="00962D91">
      <w:r w:rsidRPr="00962D91">
        <w:pict w14:anchorId="441E9BA2">
          <v:rect id="_x0000_i1114" style="width:0;height:.75pt" o:hralign="center" o:hrstd="t" o:hr="t" fillcolor="#a0a0a0" stroked="f"/>
        </w:pict>
      </w:r>
    </w:p>
    <w:p w14:paraId="055B7CC0" w14:textId="75B02BE5" w:rsidR="00962D91" w:rsidRPr="00962D91" w:rsidRDefault="00962D91" w:rsidP="00962D91">
      <w:pPr>
        <w:rPr>
          <w:b/>
          <w:bCs/>
        </w:rPr>
      </w:pPr>
      <w:r w:rsidRPr="00962D91">
        <w:rPr>
          <w:b/>
          <w:bCs/>
        </w:rPr>
        <w:t>7. Next Steps / Recommendations</w:t>
      </w:r>
    </w:p>
    <w:p w14:paraId="21CD9543" w14:textId="77777777" w:rsidR="00962D91" w:rsidRPr="00962D91" w:rsidRDefault="00962D91" w:rsidP="00962D91">
      <w:pPr>
        <w:numPr>
          <w:ilvl w:val="0"/>
          <w:numId w:val="10"/>
        </w:numPr>
      </w:pPr>
      <w:r w:rsidRPr="00962D91">
        <w:t>Develop </w:t>
      </w:r>
      <w:r w:rsidRPr="00962D91">
        <w:rPr>
          <w:b/>
          <w:bCs/>
        </w:rPr>
        <w:t>regional sales improvement plans</w:t>
      </w:r>
      <w:r w:rsidRPr="00962D91">
        <w:t> for Latin America and Africa.</w:t>
      </w:r>
    </w:p>
    <w:p w14:paraId="66E3F810" w14:textId="77777777" w:rsidR="00962D91" w:rsidRPr="00962D91" w:rsidRDefault="00962D91" w:rsidP="00962D91">
      <w:pPr>
        <w:numPr>
          <w:ilvl w:val="0"/>
          <w:numId w:val="10"/>
        </w:numPr>
      </w:pPr>
      <w:r w:rsidRPr="00962D91">
        <w:t>Run </w:t>
      </w:r>
      <w:r w:rsidRPr="00962D91">
        <w:rPr>
          <w:b/>
          <w:bCs/>
        </w:rPr>
        <w:t>market-specific A/B tests</w:t>
      </w:r>
      <w:r w:rsidRPr="00962D91">
        <w:t> for discount sensitivity on Office Supplies.</w:t>
      </w:r>
    </w:p>
    <w:p w14:paraId="52B07E04" w14:textId="77777777" w:rsidR="00962D91" w:rsidRPr="00962D91" w:rsidRDefault="00962D91" w:rsidP="00962D91">
      <w:pPr>
        <w:numPr>
          <w:ilvl w:val="0"/>
          <w:numId w:val="10"/>
        </w:numPr>
      </w:pPr>
      <w:r w:rsidRPr="00962D91">
        <w:t>Prioritize </w:t>
      </w:r>
      <w:r w:rsidRPr="00962D91">
        <w:rPr>
          <w:b/>
          <w:bCs/>
        </w:rPr>
        <w:t>Technology and high-margin Furniture</w:t>
      </w:r>
      <w:r w:rsidRPr="00962D91">
        <w:t> categories in Q4 campaigns.</w:t>
      </w:r>
    </w:p>
    <w:p w14:paraId="57DF3120" w14:textId="77777777" w:rsidR="00962D91" w:rsidRPr="00962D91" w:rsidRDefault="00962D91" w:rsidP="00962D91">
      <w:pPr>
        <w:numPr>
          <w:ilvl w:val="0"/>
          <w:numId w:val="10"/>
        </w:numPr>
      </w:pPr>
      <w:r w:rsidRPr="00962D91">
        <w:t>Implement </w:t>
      </w:r>
      <w:r w:rsidRPr="00962D91">
        <w:rPr>
          <w:b/>
          <w:bCs/>
        </w:rPr>
        <w:t>segmented performance dashboards</w:t>
      </w:r>
      <w:r w:rsidRPr="00962D91">
        <w:t> for proactive decision-making.</w:t>
      </w:r>
    </w:p>
    <w:p w14:paraId="23243BC9" w14:textId="5D65F166" w:rsidR="00575BE9" w:rsidRPr="00F316A4" w:rsidRDefault="00575BE9" w:rsidP="00962D91">
      <w:pPr>
        <w:rPr>
          <w:lang w:val="en-US"/>
        </w:rPr>
      </w:pPr>
    </w:p>
    <w:sectPr w:rsidR="00575BE9" w:rsidRPr="00F3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1F4D"/>
    <w:multiLevelType w:val="multilevel"/>
    <w:tmpl w:val="1C94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A0B5E"/>
    <w:multiLevelType w:val="multilevel"/>
    <w:tmpl w:val="A1FA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354F8"/>
    <w:multiLevelType w:val="multilevel"/>
    <w:tmpl w:val="E9A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AA1508"/>
    <w:multiLevelType w:val="multilevel"/>
    <w:tmpl w:val="1E8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66A53"/>
    <w:multiLevelType w:val="multilevel"/>
    <w:tmpl w:val="9CC0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925716"/>
    <w:multiLevelType w:val="multilevel"/>
    <w:tmpl w:val="7370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0C1536"/>
    <w:multiLevelType w:val="multilevel"/>
    <w:tmpl w:val="FA5C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E816E8"/>
    <w:multiLevelType w:val="multilevel"/>
    <w:tmpl w:val="C92A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E15440"/>
    <w:multiLevelType w:val="multilevel"/>
    <w:tmpl w:val="BA7C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57274B"/>
    <w:multiLevelType w:val="multilevel"/>
    <w:tmpl w:val="38AE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9480664">
    <w:abstractNumId w:val="1"/>
  </w:num>
  <w:num w:numId="2" w16cid:durableId="1079710245">
    <w:abstractNumId w:val="0"/>
  </w:num>
  <w:num w:numId="3" w16cid:durableId="435449153">
    <w:abstractNumId w:val="7"/>
  </w:num>
  <w:num w:numId="4" w16cid:durableId="1980841229">
    <w:abstractNumId w:val="3"/>
  </w:num>
  <w:num w:numId="5" w16cid:durableId="513418005">
    <w:abstractNumId w:val="6"/>
  </w:num>
  <w:num w:numId="6" w16cid:durableId="1050036352">
    <w:abstractNumId w:val="5"/>
  </w:num>
  <w:num w:numId="7" w16cid:durableId="784542990">
    <w:abstractNumId w:val="2"/>
  </w:num>
  <w:num w:numId="8" w16cid:durableId="141313408">
    <w:abstractNumId w:val="4"/>
  </w:num>
  <w:num w:numId="9" w16cid:durableId="1923829798">
    <w:abstractNumId w:val="8"/>
  </w:num>
  <w:num w:numId="10" w16cid:durableId="843977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A4"/>
    <w:rsid w:val="004E3894"/>
    <w:rsid w:val="00575BE9"/>
    <w:rsid w:val="00962D91"/>
    <w:rsid w:val="00C52573"/>
    <w:rsid w:val="00D636C2"/>
    <w:rsid w:val="00D73833"/>
    <w:rsid w:val="00F3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2AF8"/>
  <w15:chartTrackingRefBased/>
  <w15:docId w15:val="{FA5D8ACB-FB27-4C0F-8252-FB442712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6A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6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6A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16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16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1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 SUDHAHAR N A S</dc:creator>
  <cp:keywords/>
  <dc:description/>
  <cp:lastModifiedBy>YUVAN SUDHAHAR N A S</cp:lastModifiedBy>
  <cp:revision>1</cp:revision>
  <dcterms:created xsi:type="dcterms:W3CDTF">2025-10-26T04:20:00Z</dcterms:created>
  <dcterms:modified xsi:type="dcterms:W3CDTF">2025-10-26T04:27:00Z</dcterms:modified>
</cp:coreProperties>
</file>